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35A3CE66"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10</w:t>
      </w:r>
      <w:r w:rsidR="00F10AB4">
        <w:t>6</w:t>
      </w:r>
      <w:r w:rsidR="0083546B">
        <w:t>-e</w:t>
      </w:r>
      <w:r w:rsidRPr="00CE0424">
        <w:tab/>
      </w:r>
      <w:r w:rsidRPr="00CE0424">
        <w:rPr>
          <w:sz w:val="32"/>
          <w:szCs w:val="32"/>
        </w:rPr>
        <w:t xml:space="preserve">Tdoc </w:t>
      </w:r>
      <w:r w:rsidR="00BE10CD" w:rsidRPr="00BE10CD">
        <w:rPr>
          <w:sz w:val="32"/>
          <w:szCs w:val="32"/>
        </w:rPr>
        <w:t>R1-21</w:t>
      </w:r>
      <w:r w:rsidR="009475B9">
        <w:rPr>
          <w:sz w:val="32"/>
          <w:szCs w:val="32"/>
        </w:rPr>
        <w:t>0</w:t>
      </w:r>
      <w:r w:rsidR="00260F97" w:rsidRPr="00260F97">
        <w:rPr>
          <w:sz w:val="32"/>
          <w:szCs w:val="32"/>
        </w:rPr>
        <w:t>8231</w:t>
      </w:r>
    </w:p>
    <w:p w14:paraId="3086AC07" w14:textId="0364687C" w:rsidR="00E90E49" w:rsidRPr="006F2D81" w:rsidRDefault="006F2D81" w:rsidP="000E0F2D">
      <w:pPr>
        <w:pStyle w:val="3GPPHeader"/>
        <w:rPr>
          <w:lang w:val="en-GB"/>
        </w:rPr>
      </w:pPr>
      <w:r w:rsidRPr="006F2D81">
        <w:t xml:space="preserve">e-Meeting, </w:t>
      </w:r>
      <w:r w:rsidR="00F10AB4">
        <w:t>August 16</w:t>
      </w:r>
      <w:r w:rsidR="00F10AB4" w:rsidRPr="00F10AB4">
        <w:rPr>
          <w:vertAlign w:val="superscript"/>
        </w:rPr>
        <w:t>th</w:t>
      </w:r>
      <w:r w:rsidRPr="006F2D81">
        <w:t>– 27</w:t>
      </w:r>
      <w:r w:rsidRPr="006F2D81">
        <w:rPr>
          <w:vertAlign w:val="superscript"/>
        </w:rPr>
        <w:t>th</w:t>
      </w:r>
      <w:r w:rsidRPr="006F2D81">
        <w:t>, 2021</w:t>
      </w:r>
    </w:p>
    <w:p w14:paraId="3982483C" w14:textId="6CD80C46" w:rsidR="00E90E49" w:rsidRPr="000D19DE" w:rsidRDefault="00E90E49" w:rsidP="000E0F2D">
      <w:pPr>
        <w:pStyle w:val="3GPPHeader"/>
      </w:pPr>
      <w:r w:rsidRPr="000D19DE">
        <w:t>Agenda Item:</w:t>
      </w:r>
      <w:r w:rsidRPr="000D19DE">
        <w:tab/>
      </w:r>
      <w:r w:rsidR="00AE5153" w:rsidRPr="000D19DE">
        <w:t>8.1.1</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19E1375D" w:rsidR="00E90E49" w:rsidRPr="00AE5153" w:rsidRDefault="003D3C45" w:rsidP="000E0F2D">
      <w:pPr>
        <w:pStyle w:val="3GPPHeader"/>
        <w:rPr>
          <w:lang w:val="en-GB"/>
        </w:rPr>
      </w:pPr>
      <w:r>
        <w:t>Title:</w:t>
      </w:r>
      <w:r w:rsidR="00E90E49" w:rsidRPr="00CE0424">
        <w:tab/>
      </w:r>
      <w:r w:rsidR="00AE5153" w:rsidRPr="00AE5153">
        <w:t>Enhancements on Multi-beam Operation</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2B48F37C" w:rsidR="00BF1E70" w:rsidRPr="006E062B" w:rsidRDefault="006E062B" w:rsidP="000E0F2D">
      <w:pPr>
        <w:pStyle w:val="BodyText"/>
      </w:pPr>
      <w:r w:rsidRPr="006E062B">
        <w:t xml:space="preserve">During RAN#92e, </w:t>
      </w:r>
      <w:r w:rsidR="00BF1E70" w:rsidRPr="006E062B">
        <w:t xml:space="preserve">a </w:t>
      </w:r>
      <w:r w:rsidRPr="006E062B">
        <w:t xml:space="preserve">revised WID for Rel-17 feMIMO was agreed. </w:t>
      </w:r>
      <w:r w:rsidRPr="006E062B">
        <w:fldChar w:fldCharType="begin"/>
      </w:r>
      <w:r w:rsidRPr="006E062B">
        <w:instrText xml:space="preserve"> REF _Ref31185007 \r \h </w:instrText>
      </w:r>
      <w:r>
        <w:instrText xml:space="preserve"> \* MERGEFORMAT </w:instrText>
      </w:r>
      <w:r w:rsidRPr="006E062B">
        <w:fldChar w:fldCharType="separate"/>
      </w:r>
      <w:r w:rsidR="004F6468">
        <w:t>[1]</w:t>
      </w:r>
      <w:r w:rsidRPr="006E062B">
        <w:fldChar w:fldCharType="end"/>
      </w:r>
      <w:r w:rsidR="00BF1E70" w:rsidRPr="006E062B">
        <w:t xml:space="preserve">. </w:t>
      </w:r>
      <w:r w:rsidRPr="006E062B">
        <w:t>The revised</w:t>
      </w:r>
      <w:r w:rsidR="00BF1E70" w:rsidRPr="006E062B">
        <w:t xml:space="preserve"> objective of the work item concern</w:t>
      </w:r>
      <w:r w:rsidRPr="006E062B">
        <w:t>ing</w:t>
      </w:r>
      <w:r w:rsidR="00BF1E70" w:rsidRPr="006E062B">
        <w:t xml:space="preserve"> enhancements to multi-beam operation</w:t>
      </w:r>
      <w:r w:rsidRPr="006E062B">
        <w:t xml:space="preserve"> reads</w:t>
      </w:r>
      <w:r w:rsidR="00BF1E70" w:rsidRPr="006E062B">
        <w:t>:</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70247915">
                <wp:extent cx="6146359" cy="771276"/>
                <wp:effectExtent l="0" t="0" r="26035" b="24765"/>
                <wp:docPr id="30" name="Text Box 3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5E01AFA0" w14:textId="77777777" w:rsidR="00E376B5" w:rsidRPr="006E062B" w:rsidRDefault="00E376B5" w:rsidP="00C4412A">
                            <w:pPr>
                              <w:pStyle w:val="ListParagraph"/>
                              <w:numPr>
                                <w:ilvl w:val="0"/>
                                <w:numId w:val="37"/>
                              </w:numPr>
                              <w:spacing w:line="240" w:lineRule="auto"/>
                              <w:ind w:left="720"/>
                              <w:jc w:val="both"/>
                              <w:rPr>
                                <w:rFonts w:ascii="Times New Roman" w:hAnsi="Times New Roman" w:cs="Times New Roman"/>
                              </w:rPr>
                            </w:pPr>
                            <w:r w:rsidRPr="006E062B">
                              <w:rPr>
                                <w:rFonts w:ascii="Times New Roman" w:hAnsi="Times New Roman" w:cs="Times New Roman"/>
                              </w:rPr>
                              <w:t xml:space="preserve">Enhancement on multi-beam operation, mainly targeting FR2 while also applicable to FR1: </w:t>
                            </w:r>
                          </w:p>
                          <w:p w14:paraId="01BB7475" w14:textId="201F7E27" w:rsidR="00E376B5" w:rsidRPr="006E062B" w:rsidRDefault="00E376B5" w:rsidP="00C4412A">
                            <w:pPr>
                              <w:pStyle w:val="ListParagraph"/>
                              <w:numPr>
                                <w:ilvl w:val="1"/>
                                <w:numId w:val="37"/>
                              </w:numPr>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more efficient (lower latency and overhead) DL/UL beam management </w:t>
                            </w:r>
                            <w:r w:rsidRPr="006E062B">
                              <w:rPr>
                                <w:rFonts w:ascii="Times New Roman" w:eastAsia="Times New Roman" w:hAnsi="Times New Roman" w:cs="Times New Roman"/>
                              </w:rPr>
                              <w:t xml:space="preserve">for intra-cell and inter-cell scenarios </w:t>
                            </w:r>
                            <w:r w:rsidRPr="006E062B">
                              <w:rPr>
                                <w:rFonts w:ascii="Times New Roman" w:hAnsi="Times New Roman" w:cs="Times New Roman"/>
                              </w:rPr>
                              <w:t>to support higher UE speed and/or a larger number of configured TCI states:</w:t>
                            </w:r>
                          </w:p>
                          <w:p w14:paraId="0F6F4C20" w14:textId="77777777" w:rsidR="00E376B5" w:rsidRPr="006E062B" w:rsidRDefault="00E376B5" w:rsidP="00C4412A">
                            <w:pPr>
                              <w:pStyle w:val="ListParagraph"/>
                              <w:numPr>
                                <w:ilvl w:val="2"/>
                                <w:numId w:val="37"/>
                              </w:numPr>
                              <w:spacing w:line="240" w:lineRule="auto"/>
                              <w:ind w:left="2160"/>
                              <w:jc w:val="both"/>
                              <w:rPr>
                                <w:rFonts w:ascii="Times New Roman" w:hAnsi="Times New Roman" w:cs="Times New Roman"/>
                              </w:rPr>
                            </w:pPr>
                            <w:r w:rsidRPr="006E062B">
                              <w:rPr>
                                <w:rFonts w:ascii="Times New Roman" w:hAnsi="Times New Roman" w:cs="Times New Roman"/>
                              </w:rPr>
                              <w:t>Common beam for data and control transmission/reception for DL and UL, especially for intra-band CA</w:t>
                            </w:r>
                          </w:p>
                          <w:p w14:paraId="3BC83421" w14:textId="77777777" w:rsidR="00E376B5" w:rsidRPr="006E062B" w:rsidRDefault="00E376B5" w:rsidP="00C4412A">
                            <w:pPr>
                              <w:pStyle w:val="ListParagraph"/>
                              <w:numPr>
                                <w:ilvl w:val="2"/>
                                <w:numId w:val="37"/>
                              </w:numPr>
                              <w:spacing w:line="240" w:lineRule="auto"/>
                              <w:ind w:left="2160"/>
                              <w:jc w:val="both"/>
                              <w:rPr>
                                <w:rFonts w:ascii="Times New Roman" w:hAnsi="Times New Roman" w:cs="Times New Roman"/>
                              </w:rPr>
                            </w:pPr>
                            <w:r w:rsidRPr="006E062B">
                              <w:rPr>
                                <w:rFonts w:ascii="Times New Roman" w:hAnsi="Times New Roman" w:cs="Times New Roman"/>
                              </w:rPr>
                              <w:t>Unified TCI framework for DL and UL beam indication</w:t>
                            </w:r>
                          </w:p>
                          <w:p w14:paraId="0A84B1EE" w14:textId="77777777" w:rsidR="00E376B5" w:rsidRPr="006E062B" w:rsidRDefault="00E376B5" w:rsidP="00C4412A">
                            <w:pPr>
                              <w:pStyle w:val="ListParagraph"/>
                              <w:numPr>
                                <w:ilvl w:val="2"/>
                                <w:numId w:val="37"/>
                              </w:numPr>
                              <w:snapToGrid w:val="0"/>
                              <w:spacing w:line="240" w:lineRule="auto"/>
                              <w:ind w:left="2160"/>
                              <w:jc w:val="both"/>
                              <w:rPr>
                                <w:rFonts w:ascii="Times New Roman" w:hAnsi="Times New Roman" w:cs="Times New Roman"/>
                              </w:rPr>
                            </w:pPr>
                            <w:r w:rsidRPr="006E062B">
                              <w:rPr>
                                <w:rFonts w:ascii="Times New Roman" w:hAnsi="Times New Roman" w:cs="Times New Roman"/>
                              </w:rPr>
                              <w:t>Enhancement on signaling mechanisms for the above features to improve latency and efficiency with more usage of dynamic control signaling (as opposed to RRC)</w:t>
                            </w:r>
                          </w:p>
                          <w:p w14:paraId="1FAAA612" w14:textId="77777777" w:rsidR="00E376B5" w:rsidRPr="006E062B" w:rsidRDefault="00E376B5" w:rsidP="00C4412A">
                            <w:pPr>
                              <w:pStyle w:val="ListParagraph"/>
                              <w:numPr>
                                <w:ilvl w:val="2"/>
                                <w:numId w:val="37"/>
                              </w:numPr>
                              <w:snapToGrid w:val="0"/>
                              <w:spacing w:line="240" w:lineRule="auto"/>
                              <w:ind w:left="2160"/>
                              <w:jc w:val="both"/>
                              <w:rPr>
                                <w:rFonts w:ascii="Times New Roman" w:hAnsi="Times New Roman" w:cs="Times New Roman"/>
                              </w:rPr>
                            </w:pPr>
                            <w:r w:rsidRPr="006E062B">
                              <w:rPr>
                                <w:rFonts w:ascii="Times New Roman" w:hAnsi="Times New Roman" w:cs="Times New Roman"/>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70B1B343" w14:textId="77777777" w:rsidR="00E376B5" w:rsidRPr="006E062B" w:rsidRDefault="00E376B5" w:rsidP="00C4412A">
                            <w:pPr>
                              <w:numPr>
                                <w:ilvl w:val="3"/>
                                <w:numId w:val="38"/>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The beam indication is based on Rel-17 unified TCI framework</w:t>
                            </w:r>
                          </w:p>
                          <w:p w14:paraId="6C37106A" w14:textId="77777777" w:rsidR="00E376B5" w:rsidRPr="006E062B" w:rsidRDefault="00E376B5" w:rsidP="00C4412A">
                            <w:pPr>
                              <w:numPr>
                                <w:ilvl w:val="3"/>
                                <w:numId w:val="38"/>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The same beam measurement/reporting mechanism will be reused for inter-cell mTRP</w:t>
                            </w:r>
                          </w:p>
                          <w:p w14:paraId="177DB51C" w14:textId="77777777" w:rsidR="00E376B5" w:rsidRPr="006E062B" w:rsidRDefault="00E376B5" w:rsidP="00C4412A">
                            <w:pPr>
                              <w:numPr>
                                <w:ilvl w:val="3"/>
                                <w:numId w:val="38"/>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This work shall only consider intra-DU and intra-frequency cases</w:t>
                            </w:r>
                          </w:p>
                          <w:p w14:paraId="3E625569" w14:textId="077C07A7" w:rsidR="00E376B5" w:rsidRPr="006E062B" w:rsidRDefault="00E376B5" w:rsidP="00C4412A">
                            <w:pPr>
                              <w:pStyle w:val="ListParagraph"/>
                              <w:numPr>
                                <w:ilvl w:val="1"/>
                                <w:numId w:val="37"/>
                              </w:numPr>
                              <w:snapToGrid w:val="0"/>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UL beam selection for UEs equipped with multiple panels, considering UL coverage loss mitigation due to MPE, based on UL beam indication with the unified TCI framework for UL fast panel selection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" fillcolor="white [3201]" strokeweight=".5pt">
                <v:textbox style="mso-fit-shape-to-text:t">
                  <w:txbxContent>
                    <w:p w14:paraId="5E01AFA0" w14:textId="77777777" w:rsidR="00E376B5" w:rsidRPr="006E062B" w:rsidRDefault="00E376B5" w:rsidP="00C4412A">
                      <w:pPr>
                        <w:pStyle w:val="ListParagraph"/>
                        <w:numPr>
                          <w:ilvl w:val="0"/>
                          <w:numId w:val="37"/>
                        </w:numPr>
                        <w:spacing w:line="240" w:lineRule="auto"/>
                        <w:ind w:left="720"/>
                        <w:jc w:val="both"/>
                        <w:rPr>
                          <w:rFonts w:ascii="Times New Roman" w:hAnsi="Times New Roman" w:cs="Times New Roman"/>
                        </w:rPr>
                      </w:pPr>
                      <w:r w:rsidRPr="006E062B">
                        <w:rPr>
                          <w:rFonts w:ascii="Times New Roman" w:hAnsi="Times New Roman" w:cs="Times New Roman"/>
                        </w:rPr>
                        <w:t xml:space="preserve">Enhancement on multi-beam operation, mainly targeting FR2 while also applicable to FR1: </w:t>
                      </w:r>
                    </w:p>
                    <w:p w14:paraId="01BB7475" w14:textId="201F7E27" w:rsidR="00E376B5" w:rsidRPr="006E062B" w:rsidRDefault="00E376B5" w:rsidP="00C4412A">
                      <w:pPr>
                        <w:pStyle w:val="ListParagraph"/>
                        <w:numPr>
                          <w:ilvl w:val="1"/>
                          <w:numId w:val="37"/>
                        </w:numPr>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more efficient (lower latency and overhead) DL/UL beam management </w:t>
                      </w:r>
                      <w:r w:rsidRPr="006E062B">
                        <w:rPr>
                          <w:rFonts w:ascii="Times New Roman" w:eastAsia="Times New Roman" w:hAnsi="Times New Roman" w:cs="Times New Roman"/>
                        </w:rPr>
                        <w:t xml:space="preserve">for intra-cell and inter-cell scenarios </w:t>
                      </w:r>
                      <w:r w:rsidRPr="006E062B">
                        <w:rPr>
                          <w:rFonts w:ascii="Times New Roman" w:hAnsi="Times New Roman" w:cs="Times New Roman"/>
                        </w:rPr>
                        <w:t>to support higher UE speed and/or a larger number of configured TCI states:</w:t>
                      </w:r>
                    </w:p>
                    <w:p w14:paraId="0F6F4C20" w14:textId="77777777" w:rsidR="00E376B5" w:rsidRPr="006E062B" w:rsidRDefault="00E376B5" w:rsidP="00C4412A">
                      <w:pPr>
                        <w:pStyle w:val="ListParagraph"/>
                        <w:numPr>
                          <w:ilvl w:val="2"/>
                          <w:numId w:val="37"/>
                        </w:numPr>
                        <w:spacing w:line="240" w:lineRule="auto"/>
                        <w:ind w:left="2160"/>
                        <w:jc w:val="both"/>
                        <w:rPr>
                          <w:rFonts w:ascii="Times New Roman" w:hAnsi="Times New Roman" w:cs="Times New Roman"/>
                        </w:rPr>
                      </w:pPr>
                      <w:r w:rsidRPr="006E062B">
                        <w:rPr>
                          <w:rFonts w:ascii="Times New Roman" w:hAnsi="Times New Roman" w:cs="Times New Roman"/>
                        </w:rPr>
                        <w:t>Common beam for data and control transmission/reception for DL and UL, especially for intra-band CA</w:t>
                      </w:r>
                    </w:p>
                    <w:p w14:paraId="3BC83421" w14:textId="77777777" w:rsidR="00E376B5" w:rsidRPr="006E062B" w:rsidRDefault="00E376B5" w:rsidP="00C4412A">
                      <w:pPr>
                        <w:pStyle w:val="ListParagraph"/>
                        <w:numPr>
                          <w:ilvl w:val="2"/>
                          <w:numId w:val="37"/>
                        </w:numPr>
                        <w:spacing w:line="240" w:lineRule="auto"/>
                        <w:ind w:left="2160"/>
                        <w:jc w:val="both"/>
                        <w:rPr>
                          <w:rFonts w:ascii="Times New Roman" w:hAnsi="Times New Roman" w:cs="Times New Roman"/>
                        </w:rPr>
                      </w:pPr>
                      <w:r w:rsidRPr="006E062B">
                        <w:rPr>
                          <w:rFonts w:ascii="Times New Roman" w:hAnsi="Times New Roman" w:cs="Times New Roman"/>
                        </w:rPr>
                        <w:t>Unified TCI framework for DL and UL beam indication</w:t>
                      </w:r>
                    </w:p>
                    <w:p w14:paraId="0A84B1EE" w14:textId="77777777" w:rsidR="00E376B5" w:rsidRPr="006E062B" w:rsidRDefault="00E376B5" w:rsidP="00C4412A">
                      <w:pPr>
                        <w:pStyle w:val="ListParagraph"/>
                        <w:numPr>
                          <w:ilvl w:val="2"/>
                          <w:numId w:val="37"/>
                        </w:numPr>
                        <w:snapToGrid w:val="0"/>
                        <w:spacing w:line="240" w:lineRule="auto"/>
                        <w:ind w:left="2160"/>
                        <w:jc w:val="both"/>
                        <w:rPr>
                          <w:rFonts w:ascii="Times New Roman" w:hAnsi="Times New Roman" w:cs="Times New Roman"/>
                        </w:rPr>
                      </w:pPr>
                      <w:r w:rsidRPr="006E062B">
                        <w:rPr>
                          <w:rFonts w:ascii="Times New Roman" w:hAnsi="Times New Roman" w:cs="Times New Roman"/>
                        </w:rPr>
                        <w:t>Enhancement on signaling mechanisms for the above features to improve latency and efficiency with more usage of dynamic control signaling (as opposed to RRC)</w:t>
                      </w:r>
                    </w:p>
                    <w:p w14:paraId="1FAAA612" w14:textId="77777777" w:rsidR="00E376B5" w:rsidRPr="006E062B" w:rsidRDefault="00E376B5" w:rsidP="00C4412A">
                      <w:pPr>
                        <w:pStyle w:val="ListParagraph"/>
                        <w:numPr>
                          <w:ilvl w:val="2"/>
                          <w:numId w:val="37"/>
                        </w:numPr>
                        <w:snapToGrid w:val="0"/>
                        <w:spacing w:line="240" w:lineRule="auto"/>
                        <w:ind w:left="2160"/>
                        <w:jc w:val="both"/>
                        <w:rPr>
                          <w:rFonts w:ascii="Times New Roman" w:hAnsi="Times New Roman" w:cs="Times New Roman"/>
                        </w:rPr>
                      </w:pPr>
                      <w:r w:rsidRPr="006E062B">
                        <w:rPr>
                          <w:rFonts w:ascii="Times New Roman" w:hAnsi="Times New Roman" w:cs="Times New Roman"/>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70B1B343" w14:textId="77777777" w:rsidR="00E376B5" w:rsidRPr="006E062B" w:rsidRDefault="00E376B5" w:rsidP="00C4412A">
                      <w:pPr>
                        <w:numPr>
                          <w:ilvl w:val="3"/>
                          <w:numId w:val="38"/>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The beam indication is based on Rel-17 unified TCI framework</w:t>
                      </w:r>
                    </w:p>
                    <w:p w14:paraId="6C37106A" w14:textId="77777777" w:rsidR="00E376B5" w:rsidRPr="006E062B" w:rsidRDefault="00E376B5" w:rsidP="00C4412A">
                      <w:pPr>
                        <w:numPr>
                          <w:ilvl w:val="3"/>
                          <w:numId w:val="38"/>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The same beam measurement/reporting mechanism will be reused for inter-cell mTRP</w:t>
                      </w:r>
                    </w:p>
                    <w:p w14:paraId="177DB51C" w14:textId="77777777" w:rsidR="00E376B5" w:rsidRPr="006E062B" w:rsidRDefault="00E376B5" w:rsidP="00C4412A">
                      <w:pPr>
                        <w:numPr>
                          <w:ilvl w:val="3"/>
                          <w:numId w:val="38"/>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This work shall only consider intra-DU and intra-frequency cases</w:t>
                      </w:r>
                    </w:p>
                    <w:p w14:paraId="3E625569" w14:textId="077C07A7" w:rsidR="00E376B5" w:rsidRPr="006E062B" w:rsidRDefault="00E376B5" w:rsidP="00C4412A">
                      <w:pPr>
                        <w:pStyle w:val="ListParagraph"/>
                        <w:numPr>
                          <w:ilvl w:val="1"/>
                          <w:numId w:val="37"/>
                        </w:numPr>
                        <w:snapToGrid w:val="0"/>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UL beam selection for UEs equipped with multiple panels, considering UL coverage loss mitigation due to MPE, based on UL beam indication with the unified TCI framework for UL fast panel selection </w:t>
                      </w:r>
                    </w:p>
                  </w:txbxContent>
                </v:textbox>
                <w10:anchorlock/>
              </v:shape>
            </w:pict>
          </mc:Fallback>
        </mc:AlternateContent>
      </w:r>
    </w:p>
    <w:p w14:paraId="275E20CD" w14:textId="6EA8AAAD" w:rsidR="009E7184" w:rsidRDefault="009E7184" w:rsidP="000E0F2D">
      <w:pPr>
        <w:pStyle w:val="BodyText"/>
      </w:pPr>
      <w:r w:rsidRPr="006E062B">
        <w:t>During RAN1#10</w:t>
      </w:r>
      <w:r w:rsidR="006E062B" w:rsidRPr="006E062B">
        <w:t>5</w:t>
      </w:r>
      <w:r w:rsidR="00345B9D" w:rsidRPr="006E062B">
        <w:t>-</w:t>
      </w:r>
      <w:r w:rsidR="002607D0" w:rsidRPr="006E062B">
        <w:t>e</w:t>
      </w:r>
      <w:r w:rsidRPr="006E062B">
        <w:t xml:space="preserve">, </w:t>
      </w:r>
      <w:r w:rsidR="00507940" w:rsidRPr="006E062B">
        <w:t>multiple</w:t>
      </w:r>
      <w:r w:rsidRPr="006E062B">
        <w:t xml:space="preserve"> multi-beam agreement</w:t>
      </w:r>
      <w:r w:rsidR="00795909" w:rsidRPr="006E062B">
        <w:t>s</w:t>
      </w:r>
      <w:r w:rsidRPr="006E062B">
        <w:t xml:space="preserve"> </w:t>
      </w:r>
      <w:r w:rsidR="00507940" w:rsidRPr="006E062B">
        <w:t>w</w:t>
      </w:r>
      <w:r w:rsidR="00795909" w:rsidRPr="006E062B">
        <w:t>ere</w:t>
      </w:r>
      <w:r w:rsidRPr="006E062B">
        <w:t xml:space="preserve"> made</w:t>
      </w:r>
      <w:r w:rsidR="00507940" w:rsidRPr="006E062B">
        <w:t xml:space="preserve">. </w:t>
      </w:r>
      <w:r w:rsidRPr="006E062B">
        <w:t>This contribution will provide</w:t>
      </w:r>
      <w:r w:rsidR="00507940" w:rsidRPr="006E062B">
        <w:t xml:space="preserve"> further</w:t>
      </w:r>
      <w:r w:rsidRPr="006E062B">
        <w:t xml:space="preserve"> input to </w:t>
      </w:r>
      <w:r w:rsidR="00507940" w:rsidRPr="006E062B">
        <w:t>the agreements and related topics</w:t>
      </w:r>
      <w:r w:rsidRPr="006E062B">
        <w:t>.</w:t>
      </w:r>
      <w:r w:rsidR="004A6D83">
        <w:t xml:space="preserve"> This is a revision of R1-2107628.</w:t>
      </w:r>
    </w:p>
    <w:p w14:paraId="4408E5AF" w14:textId="4A053363" w:rsidR="002607D0" w:rsidRDefault="00230D18" w:rsidP="00EF606F">
      <w:pPr>
        <w:pStyle w:val="Heading1"/>
      </w:pPr>
      <w:bookmarkStart w:id="0" w:name="_Ref178064866"/>
      <w:r>
        <w:t>2</w:t>
      </w:r>
      <w:r>
        <w:tab/>
      </w:r>
      <w:r w:rsidR="004000E8" w:rsidRPr="00CE0424">
        <w:t>Discussion</w:t>
      </w:r>
      <w:bookmarkEnd w:id="0"/>
    </w:p>
    <w:p w14:paraId="08766E0D" w14:textId="324B206E" w:rsidR="00D777D8" w:rsidRDefault="00D777D8" w:rsidP="00D777D8">
      <w:pPr>
        <w:pStyle w:val="Heading2"/>
      </w:pPr>
      <w:r>
        <w:t>2.1</w:t>
      </w:r>
      <w:r>
        <w:tab/>
        <w:t>Unified TCI framework</w:t>
      </w:r>
    </w:p>
    <w:p w14:paraId="1E9E1E3B" w14:textId="21CE3CA6" w:rsidR="004017E6" w:rsidRPr="00CA6C2B" w:rsidRDefault="004017E6" w:rsidP="006F075E">
      <w:pPr>
        <w:pStyle w:val="Heading3"/>
      </w:pPr>
      <w:r w:rsidRPr="00CA6C2B">
        <w:t>2.1.1</w:t>
      </w:r>
      <w:r w:rsidRPr="00CA6C2B">
        <w:tab/>
        <w:t>Possible target RSs for the unified TCI</w:t>
      </w:r>
    </w:p>
    <w:p w14:paraId="0E507098" w14:textId="69546806" w:rsidR="00CA6C2B" w:rsidRPr="00CA6C2B" w:rsidRDefault="00CA6C2B" w:rsidP="00CA6C2B">
      <w:pPr>
        <w:rPr>
          <w:lang w:val="en-GB" w:eastAsia="ja-JP"/>
        </w:rPr>
      </w:pPr>
      <w:r w:rsidRPr="00CA6C2B">
        <w:rPr>
          <w:lang w:val="en-GB" w:eastAsia="ja-JP"/>
        </w:rPr>
        <w:t>In RAN#10</w:t>
      </w:r>
      <w:r w:rsidR="006E062B">
        <w:rPr>
          <w:lang w:val="en-GB" w:eastAsia="ja-JP"/>
        </w:rPr>
        <w:t>5</w:t>
      </w:r>
      <w:r w:rsidR="00345B9D">
        <w:rPr>
          <w:lang w:val="en-GB" w:eastAsia="ja-JP"/>
        </w:rPr>
        <w:t>-</w:t>
      </w:r>
      <w:r w:rsidRPr="00CA6C2B">
        <w:rPr>
          <w:lang w:val="en-GB" w:eastAsia="ja-JP"/>
        </w:rPr>
        <w:t xml:space="preserve">e, the following </w:t>
      </w:r>
      <w:r w:rsidR="006E062B">
        <w:rPr>
          <w:lang w:val="en-GB" w:eastAsia="ja-JP"/>
        </w:rPr>
        <w:t xml:space="preserve">agreement </w:t>
      </w:r>
      <w:r w:rsidRPr="00CA6C2B">
        <w:rPr>
          <w:lang w:val="en-GB" w:eastAsia="ja-JP"/>
        </w:rPr>
        <w:t>was made:</w:t>
      </w:r>
    </w:p>
    <w:p w14:paraId="586B2D76" w14:textId="77777777" w:rsidR="00CA6C2B" w:rsidRDefault="00CA6C2B" w:rsidP="000E0F2D">
      <w:pPr>
        <w:pStyle w:val="BodyText"/>
      </w:pPr>
      <w:r>
        <w:rPr>
          <w:noProof/>
        </w:rPr>
        <w:lastRenderedPageBreak/>
        <mc:AlternateContent>
          <mc:Choice Requires="wps">
            <w:drawing>
              <wp:inline distT="0" distB="0" distL="0" distR="0" wp14:anchorId="22BBDC77" wp14:editId="1C05777B">
                <wp:extent cx="6146359" cy="771276"/>
                <wp:effectExtent l="0" t="0" r="26035" b="24765"/>
                <wp:docPr id="17" name="Text Box 17"/>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79A99502" w14:textId="77777777" w:rsidR="00E376B5" w:rsidRPr="007A4B66" w:rsidRDefault="00E376B5" w:rsidP="006E062B">
                            <w:pPr>
                              <w:snapToGrid w:val="0"/>
                              <w:rPr>
                                <w:rFonts w:ascii="Times New Roman" w:hAnsi="Times New Roman" w:cs="Times New Roman"/>
                                <w:szCs w:val="20"/>
                                <w:lang w:eastAsia="ko-KR"/>
                              </w:rPr>
                            </w:pPr>
                            <w:r w:rsidRPr="007A4B66">
                              <w:rPr>
                                <w:rFonts w:ascii="Times New Roman" w:hAnsi="Times New Roman" w:cs="Times New Roman"/>
                                <w:b/>
                                <w:bCs/>
                                <w:szCs w:val="20"/>
                                <w:highlight w:val="green"/>
                              </w:rPr>
                              <w:t>Agreement</w:t>
                            </w:r>
                          </w:p>
                          <w:p w14:paraId="79C677BE" w14:textId="77777777" w:rsidR="00E376B5" w:rsidRPr="007A4B66" w:rsidRDefault="00E376B5" w:rsidP="006E062B">
                            <w:pPr>
                              <w:snapToGrid w:val="0"/>
                              <w:rPr>
                                <w:rFonts w:ascii="Times New Roman" w:hAnsi="Times New Roman" w:cs="Times New Roman"/>
                                <w:szCs w:val="20"/>
                              </w:rPr>
                            </w:pPr>
                            <w:r w:rsidRPr="007A4B66">
                              <w:rPr>
                                <w:rFonts w:ascii="Times New Roman" w:hAnsi="Times New Roman" w:cs="Times New Roman"/>
                                <w:szCs w:val="20"/>
                              </w:rPr>
                              <w:t xml:space="preserve">On Rel.17 unified TCI framework, </w:t>
                            </w:r>
                          </w:p>
                          <w:p w14:paraId="4DECA457" w14:textId="77777777" w:rsidR="00E376B5" w:rsidRPr="007A4B66" w:rsidRDefault="00E376B5" w:rsidP="00C4412A">
                            <w:pPr>
                              <w:pStyle w:val="ListParagraph"/>
                              <w:numPr>
                                <w:ilvl w:val="0"/>
                                <w:numId w:val="20"/>
                              </w:numPr>
                              <w:snapToGrid w:val="0"/>
                              <w:spacing w:line="240" w:lineRule="auto"/>
                              <w:rPr>
                                <w:rFonts w:ascii="Times New Roman" w:hAnsi="Times New Roman" w:cs="Times New Roman"/>
                                <w:sz w:val="20"/>
                                <w:szCs w:val="20"/>
                              </w:rPr>
                            </w:pPr>
                            <w:r w:rsidRPr="007A4B66">
                              <w:rPr>
                                <w:rFonts w:ascii="Times New Roman" w:hAnsi="Times New Roman" w:cs="Times New Roman"/>
                                <w:sz w:val="20"/>
                                <w:szCs w:val="20"/>
                              </w:rPr>
                              <w:t>Any DL RS that is a valid target DL RS of a Rel-15/16 TCI state based on the Rel-15/16 QCL rules can be configured as a target DL RS of Rel-17 DL TCI (hence the Rel-17 DL TCI state pool)</w:t>
                            </w:r>
                          </w:p>
                          <w:p w14:paraId="0A69823D" w14:textId="77777777" w:rsidR="00E376B5" w:rsidRPr="007A4B66" w:rsidRDefault="00E376B5" w:rsidP="00C4412A">
                            <w:pPr>
                              <w:pStyle w:val="ListParagraph"/>
                              <w:numPr>
                                <w:ilvl w:val="1"/>
                                <w:numId w:val="20"/>
                              </w:numPr>
                              <w:snapToGrid w:val="0"/>
                              <w:spacing w:line="240" w:lineRule="auto"/>
                              <w:rPr>
                                <w:rFonts w:ascii="Times New Roman" w:hAnsi="Times New Roman" w:cs="Times New Roman"/>
                                <w:sz w:val="20"/>
                                <w:szCs w:val="20"/>
                                <w:lang w:eastAsia="ko-KR"/>
                              </w:rPr>
                            </w:pPr>
                            <w:r w:rsidRPr="007A4B66">
                              <w:rPr>
                                <w:rFonts w:ascii="Times New Roman" w:hAnsi="Times New Roman" w:cs="Times New Roman"/>
                                <w:sz w:val="20"/>
                                <w:szCs w:val="20"/>
                              </w:rPr>
                              <w:t>Note: This does not imply that all such DL RSs necessarily share a same TCI state</w:t>
                            </w:r>
                          </w:p>
                          <w:p w14:paraId="0CB60F77" w14:textId="77777777" w:rsidR="00E376B5" w:rsidRPr="007A4B66" w:rsidRDefault="00E376B5" w:rsidP="00C4412A">
                            <w:pPr>
                              <w:pStyle w:val="ListParagraph"/>
                              <w:numPr>
                                <w:ilvl w:val="1"/>
                                <w:numId w:val="20"/>
                              </w:numPr>
                              <w:snapToGrid w:val="0"/>
                              <w:spacing w:line="240" w:lineRule="auto"/>
                              <w:rPr>
                                <w:rFonts w:ascii="Times New Roman" w:hAnsi="Times New Roman" w:cs="Times New Roman"/>
                                <w:sz w:val="20"/>
                                <w:szCs w:val="20"/>
                              </w:rPr>
                            </w:pPr>
                            <w:r w:rsidRPr="007A4B66">
                              <w:rPr>
                                <w:rFonts w:ascii="Times New Roman" w:hAnsi="Times New Roman" w:cs="Times New Roman"/>
                                <w:sz w:val="20"/>
                                <w:szCs w:val="20"/>
                              </w:rPr>
                              <w:t>The DL RS includes CSI-RS and DMRS for PDSCH or PDCCH</w:t>
                            </w:r>
                          </w:p>
                          <w:p w14:paraId="3F7C0FA3" w14:textId="77777777" w:rsidR="00E376B5" w:rsidRPr="007A4B66" w:rsidRDefault="00E376B5" w:rsidP="00C4412A">
                            <w:pPr>
                              <w:pStyle w:val="ListParagraph"/>
                              <w:numPr>
                                <w:ilvl w:val="0"/>
                                <w:numId w:val="20"/>
                              </w:numPr>
                              <w:snapToGrid w:val="0"/>
                              <w:spacing w:line="240" w:lineRule="auto"/>
                              <w:rPr>
                                <w:rFonts w:ascii="Times New Roman" w:hAnsi="Times New Roman" w:cs="Times New Roman"/>
                                <w:sz w:val="20"/>
                                <w:szCs w:val="20"/>
                                <w:lang w:eastAsia="ko-KR"/>
                              </w:rPr>
                            </w:pPr>
                            <w:r w:rsidRPr="007A4B66">
                              <w:rPr>
                                <w:rFonts w:ascii="Times New Roman" w:hAnsi="Times New Roman" w:cs="Times New Roman"/>
                                <w:sz w:val="20"/>
                                <w:szCs w:val="20"/>
                              </w:rPr>
                              <w:t>FFS: Whether some SRS resources or resource sets for BM can be configured as a target signal/channel of a Rel-17 UL TCI (hence the Rel-17 UL TCI state pool)</w:t>
                            </w:r>
                          </w:p>
                          <w:p w14:paraId="17862729" w14:textId="6A4829D1" w:rsidR="00E376B5" w:rsidRPr="006E062B" w:rsidRDefault="00E376B5" w:rsidP="00C4412A">
                            <w:pPr>
                              <w:pStyle w:val="ListParagraph"/>
                              <w:numPr>
                                <w:ilvl w:val="0"/>
                                <w:numId w:val="20"/>
                              </w:numPr>
                              <w:snapToGrid w:val="0"/>
                              <w:spacing w:line="240" w:lineRule="auto"/>
                              <w:rPr>
                                <w:rFonts w:ascii="Times New Roman" w:hAnsi="Times New Roman" w:cs="Times New Roman"/>
                                <w:sz w:val="20"/>
                                <w:szCs w:val="20"/>
                              </w:rPr>
                            </w:pPr>
                            <w:r w:rsidRPr="007A4B66">
                              <w:rPr>
                                <w:rFonts w:ascii="Times New Roman" w:hAnsi="Times New Roman" w:cs="Times New Roman"/>
                                <w:sz w:val="20"/>
                                <w:szCs w:val="20"/>
                              </w:rPr>
                              <w:t>Note: This does not imply that DL and UL TCI state pools are separate or shared for separate DL/UL TCI (this issue is still TBD)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2BBDC77" id="Text Box 17" o:spid="_x0000_s1027"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" fillcolor="white [3201]" strokeweight=".5pt">
                <v:textbox style="mso-fit-shape-to-text:t">
                  <w:txbxContent>
                    <w:p w14:paraId="79A99502" w14:textId="77777777" w:rsidR="00E376B5" w:rsidRPr="007A4B66" w:rsidRDefault="00E376B5" w:rsidP="006E062B">
                      <w:pPr>
                        <w:snapToGrid w:val="0"/>
                        <w:rPr>
                          <w:rFonts w:ascii="Times New Roman" w:hAnsi="Times New Roman" w:cs="Times New Roman"/>
                          <w:szCs w:val="20"/>
                          <w:lang w:eastAsia="ko-KR"/>
                        </w:rPr>
                      </w:pPr>
                      <w:r w:rsidRPr="007A4B66">
                        <w:rPr>
                          <w:rFonts w:ascii="Times New Roman" w:hAnsi="Times New Roman" w:cs="Times New Roman"/>
                          <w:b/>
                          <w:bCs/>
                          <w:szCs w:val="20"/>
                          <w:highlight w:val="green"/>
                        </w:rPr>
                        <w:t>Agreement</w:t>
                      </w:r>
                    </w:p>
                    <w:p w14:paraId="79C677BE" w14:textId="77777777" w:rsidR="00E376B5" w:rsidRPr="007A4B66" w:rsidRDefault="00E376B5" w:rsidP="006E062B">
                      <w:pPr>
                        <w:snapToGrid w:val="0"/>
                        <w:rPr>
                          <w:rFonts w:ascii="Times New Roman" w:hAnsi="Times New Roman" w:cs="Times New Roman"/>
                          <w:szCs w:val="20"/>
                        </w:rPr>
                      </w:pPr>
                      <w:r w:rsidRPr="007A4B66">
                        <w:rPr>
                          <w:rFonts w:ascii="Times New Roman" w:hAnsi="Times New Roman" w:cs="Times New Roman"/>
                          <w:szCs w:val="20"/>
                        </w:rPr>
                        <w:t xml:space="preserve">On Rel.17 unified TCI framework, </w:t>
                      </w:r>
                    </w:p>
                    <w:p w14:paraId="4DECA457" w14:textId="77777777" w:rsidR="00E376B5" w:rsidRPr="007A4B66" w:rsidRDefault="00E376B5" w:rsidP="00C4412A">
                      <w:pPr>
                        <w:pStyle w:val="ListParagraph"/>
                        <w:numPr>
                          <w:ilvl w:val="0"/>
                          <w:numId w:val="20"/>
                        </w:numPr>
                        <w:snapToGrid w:val="0"/>
                        <w:spacing w:line="240" w:lineRule="auto"/>
                        <w:rPr>
                          <w:rFonts w:ascii="Times New Roman" w:hAnsi="Times New Roman" w:cs="Times New Roman"/>
                          <w:sz w:val="20"/>
                          <w:szCs w:val="20"/>
                        </w:rPr>
                      </w:pPr>
                      <w:r w:rsidRPr="007A4B66">
                        <w:rPr>
                          <w:rFonts w:ascii="Times New Roman" w:hAnsi="Times New Roman" w:cs="Times New Roman"/>
                          <w:sz w:val="20"/>
                          <w:szCs w:val="20"/>
                        </w:rPr>
                        <w:t>Any DL RS that is a valid target DL RS of a Rel-15/16 TCI state based on the Rel-15/16 QCL rules can be configured as a target DL RS of Rel-17 DL TCI (hence the Rel-17 DL TCI state pool)</w:t>
                      </w:r>
                    </w:p>
                    <w:p w14:paraId="0A69823D" w14:textId="77777777" w:rsidR="00E376B5" w:rsidRPr="007A4B66" w:rsidRDefault="00E376B5" w:rsidP="00C4412A">
                      <w:pPr>
                        <w:pStyle w:val="ListParagraph"/>
                        <w:numPr>
                          <w:ilvl w:val="1"/>
                          <w:numId w:val="20"/>
                        </w:numPr>
                        <w:snapToGrid w:val="0"/>
                        <w:spacing w:line="240" w:lineRule="auto"/>
                        <w:rPr>
                          <w:rFonts w:ascii="Times New Roman" w:hAnsi="Times New Roman" w:cs="Times New Roman"/>
                          <w:sz w:val="20"/>
                          <w:szCs w:val="20"/>
                          <w:lang w:eastAsia="ko-KR"/>
                        </w:rPr>
                      </w:pPr>
                      <w:r w:rsidRPr="007A4B66">
                        <w:rPr>
                          <w:rFonts w:ascii="Times New Roman" w:hAnsi="Times New Roman" w:cs="Times New Roman"/>
                          <w:sz w:val="20"/>
                          <w:szCs w:val="20"/>
                        </w:rPr>
                        <w:t>Note: This does not imply that all such DL RSs necessarily share a same TCI state</w:t>
                      </w:r>
                    </w:p>
                    <w:p w14:paraId="0CB60F77" w14:textId="77777777" w:rsidR="00E376B5" w:rsidRPr="007A4B66" w:rsidRDefault="00E376B5" w:rsidP="00C4412A">
                      <w:pPr>
                        <w:pStyle w:val="ListParagraph"/>
                        <w:numPr>
                          <w:ilvl w:val="1"/>
                          <w:numId w:val="20"/>
                        </w:numPr>
                        <w:snapToGrid w:val="0"/>
                        <w:spacing w:line="240" w:lineRule="auto"/>
                        <w:rPr>
                          <w:rFonts w:ascii="Times New Roman" w:hAnsi="Times New Roman" w:cs="Times New Roman"/>
                          <w:sz w:val="20"/>
                          <w:szCs w:val="20"/>
                        </w:rPr>
                      </w:pPr>
                      <w:r w:rsidRPr="007A4B66">
                        <w:rPr>
                          <w:rFonts w:ascii="Times New Roman" w:hAnsi="Times New Roman" w:cs="Times New Roman"/>
                          <w:sz w:val="20"/>
                          <w:szCs w:val="20"/>
                        </w:rPr>
                        <w:t>The DL RS includes CSI-RS and DMRS for PDSCH or PDCCH</w:t>
                      </w:r>
                    </w:p>
                    <w:p w14:paraId="3F7C0FA3" w14:textId="77777777" w:rsidR="00E376B5" w:rsidRPr="007A4B66" w:rsidRDefault="00E376B5" w:rsidP="00C4412A">
                      <w:pPr>
                        <w:pStyle w:val="ListParagraph"/>
                        <w:numPr>
                          <w:ilvl w:val="0"/>
                          <w:numId w:val="20"/>
                        </w:numPr>
                        <w:snapToGrid w:val="0"/>
                        <w:spacing w:line="240" w:lineRule="auto"/>
                        <w:rPr>
                          <w:rFonts w:ascii="Times New Roman" w:hAnsi="Times New Roman" w:cs="Times New Roman"/>
                          <w:sz w:val="20"/>
                          <w:szCs w:val="20"/>
                          <w:lang w:eastAsia="ko-KR"/>
                        </w:rPr>
                      </w:pPr>
                      <w:r w:rsidRPr="007A4B66">
                        <w:rPr>
                          <w:rFonts w:ascii="Times New Roman" w:hAnsi="Times New Roman" w:cs="Times New Roman"/>
                          <w:sz w:val="20"/>
                          <w:szCs w:val="20"/>
                        </w:rPr>
                        <w:t>FFS: Whether some SRS resources or resource sets for BM can be configured as a target signal/channel of a Rel-17 UL TCI (hence the Rel-17 UL TCI state pool)</w:t>
                      </w:r>
                    </w:p>
                    <w:p w14:paraId="17862729" w14:textId="6A4829D1" w:rsidR="00E376B5" w:rsidRPr="006E062B" w:rsidRDefault="00E376B5" w:rsidP="00C4412A">
                      <w:pPr>
                        <w:pStyle w:val="ListParagraph"/>
                        <w:numPr>
                          <w:ilvl w:val="0"/>
                          <w:numId w:val="20"/>
                        </w:numPr>
                        <w:snapToGrid w:val="0"/>
                        <w:spacing w:line="240" w:lineRule="auto"/>
                        <w:rPr>
                          <w:rFonts w:ascii="Times New Roman" w:hAnsi="Times New Roman" w:cs="Times New Roman"/>
                          <w:sz w:val="20"/>
                          <w:szCs w:val="20"/>
                        </w:rPr>
                      </w:pPr>
                      <w:r w:rsidRPr="007A4B66">
                        <w:rPr>
                          <w:rFonts w:ascii="Times New Roman" w:hAnsi="Times New Roman" w:cs="Times New Roman"/>
                          <w:sz w:val="20"/>
                          <w:szCs w:val="20"/>
                        </w:rPr>
                        <w:t>Note: This does not imply that DL and UL TCI state pools are separate or shared for separate DL/UL TCI (this issue is still TBD)</w:t>
                      </w:r>
                    </w:p>
                  </w:txbxContent>
                </v:textbox>
                <w10:anchorlock/>
              </v:shape>
            </w:pict>
          </mc:Fallback>
        </mc:AlternateContent>
      </w:r>
    </w:p>
    <w:p w14:paraId="1945EF34" w14:textId="0F4E1218" w:rsidR="006E062B" w:rsidRDefault="0059492D" w:rsidP="00CA6C2B">
      <w:pPr>
        <w:rPr>
          <w:lang w:val="en-GB"/>
        </w:rPr>
      </w:pPr>
      <w:r>
        <w:rPr>
          <w:lang w:val="en-GB" w:eastAsia="ja-JP"/>
        </w:rPr>
        <w:t xml:space="preserve">Hence, we have agreed that any DL RS that is a target RS for a Rel-15/16 TCI state can also be a target RS for a R17 TCI state. This means for example that </w:t>
      </w:r>
      <w:r>
        <w:rPr>
          <w:lang w:val="en-GB"/>
        </w:rPr>
        <w:t>CSI-RS for CSI, CSI-RS for tracking and CSI-RS for beam management can be targets of a Rel-17 TCI state.</w:t>
      </w:r>
    </w:p>
    <w:p w14:paraId="14A0D733" w14:textId="7F58F07A" w:rsidR="00305535" w:rsidRPr="00AC2F48" w:rsidRDefault="00305535" w:rsidP="00305535">
      <w:pPr>
        <w:rPr>
          <w:lang w:val="en-GB"/>
        </w:rPr>
      </w:pPr>
      <w:r w:rsidRPr="00AC2F48">
        <w:rPr>
          <w:i/>
          <w:iCs/>
          <w:lang w:val="en-GB"/>
        </w:rPr>
        <w:t>How</w:t>
      </w:r>
      <w:r w:rsidRPr="00AC2F48">
        <w:rPr>
          <w:lang w:val="en-GB"/>
        </w:rPr>
        <w:t xml:space="preserve"> this unified TCI state is signalled to the UE is another issue. The fact that a unified TCI state is applicable does not mean that it can be signalled using DCI, or that it must be the same as the PDCCH/PDSCH TCI state. On this issue, the following agreement was made in RAN1#105-e:</w:t>
      </w:r>
    </w:p>
    <w:p w14:paraId="2AB87C93" w14:textId="4394EDCF" w:rsidR="00305535" w:rsidRPr="00AC2F48" w:rsidRDefault="00AC2F48" w:rsidP="00AC2F48">
      <w:pPr>
        <w:pStyle w:val="BodyText"/>
      </w:pPr>
      <w:r>
        <w:rPr>
          <w:noProof/>
        </w:rPr>
        <mc:AlternateContent>
          <mc:Choice Requires="wps">
            <w:drawing>
              <wp:inline distT="0" distB="0" distL="0" distR="0" wp14:anchorId="36EA4B6B" wp14:editId="555C242F">
                <wp:extent cx="6146359" cy="771276"/>
                <wp:effectExtent l="0" t="0" r="26035" b="24765"/>
                <wp:docPr id="14" name="Text Box 14"/>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287F5EAC" w14:textId="77777777" w:rsidR="00E376B5" w:rsidRPr="007A4B66" w:rsidRDefault="00E376B5" w:rsidP="00AC2F48">
                            <w:pPr>
                              <w:snapToGrid w:val="0"/>
                              <w:rPr>
                                <w:rFonts w:ascii="Times New Roman" w:hAnsi="Times New Roman" w:cs="Times New Roman"/>
                                <w:szCs w:val="20"/>
                              </w:rPr>
                            </w:pPr>
                            <w:r w:rsidRPr="007A4B66">
                              <w:rPr>
                                <w:rFonts w:ascii="Times New Roman" w:hAnsi="Times New Roman" w:cs="Times New Roman"/>
                                <w:b/>
                                <w:bCs/>
                                <w:szCs w:val="20"/>
                                <w:highlight w:val="green"/>
                              </w:rPr>
                              <w:t>Agreement</w:t>
                            </w:r>
                          </w:p>
                          <w:p w14:paraId="395FA2CF" w14:textId="77777777" w:rsidR="00E376B5" w:rsidRPr="007A4B66" w:rsidRDefault="00E376B5" w:rsidP="00AC2F48">
                            <w:pPr>
                              <w:snapToGrid w:val="0"/>
                              <w:rPr>
                                <w:rFonts w:ascii="Times New Roman" w:hAnsi="Times New Roman" w:cs="Times New Roman"/>
                                <w:szCs w:val="20"/>
                              </w:rPr>
                            </w:pPr>
                            <w:r w:rsidRPr="007A4B66">
                              <w:rPr>
                                <w:rFonts w:ascii="Times New Roman" w:hAnsi="Times New Roman" w:cs="Times New Roman"/>
                                <w:szCs w:val="20"/>
                              </w:rPr>
                              <w:t>On Rel.17 unified TCI framework, discuss and decide by RAN1#106-e (August 2021)</w:t>
                            </w:r>
                          </w:p>
                          <w:p w14:paraId="24F5AD20" w14:textId="77777777" w:rsidR="00E376B5" w:rsidRPr="007A4B66" w:rsidRDefault="00E376B5" w:rsidP="00C4412A">
                            <w:pPr>
                              <w:pStyle w:val="ListParagraph"/>
                              <w:numPr>
                                <w:ilvl w:val="0"/>
                                <w:numId w:val="20"/>
                              </w:numPr>
                              <w:autoSpaceDN w:val="0"/>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Whether each of the following DL RSs can share the same indicated Rel-17 TCI state as UE-dedicated reception on PDSCH and for UE-dedicated reception on all or subset of CORESETs in a CC</w:t>
                            </w:r>
                          </w:p>
                          <w:p w14:paraId="7FFF7ADD" w14:textId="77777777" w:rsidR="00E376B5" w:rsidRPr="007A4B66" w:rsidRDefault="00E376B5" w:rsidP="00C4412A">
                            <w:pPr>
                              <w:pStyle w:val="ListParagraph"/>
                              <w:numPr>
                                <w:ilvl w:val="1"/>
                                <w:numId w:val="20"/>
                              </w:numPr>
                              <w:autoSpaceDN w:val="0"/>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rPr>
                              <w:t>CSI-RS resources for CSI</w:t>
                            </w:r>
                          </w:p>
                          <w:p w14:paraId="0719731D" w14:textId="77777777" w:rsidR="00E376B5" w:rsidRPr="007A4B66" w:rsidRDefault="00E376B5" w:rsidP="00C4412A">
                            <w:pPr>
                              <w:pStyle w:val="ListParagraph"/>
                              <w:numPr>
                                <w:ilvl w:val="1"/>
                                <w:numId w:val="20"/>
                              </w:numPr>
                              <w:autoSpaceDN w:val="0"/>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Some CSI-RS resources for BM, if so, which ones (e.g. aperiodic, repetition ‘ON’)</w:t>
                            </w:r>
                          </w:p>
                          <w:p w14:paraId="7661D8B4" w14:textId="77777777" w:rsidR="00E376B5" w:rsidRPr="007A4B66" w:rsidRDefault="00E376B5" w:rsidP="00C4412A">
                            <w:pPr>
                              <w:pStyle w:val="ListParagraph"/>
                              <w:numPr>
                                <w:ilvl w:val="1"/>
                                <w:numId w:val="20"/>
                              </w:numPr>
                              <w:autoSpaceDN w:val="0"/>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rPr>
                              <w:t>CSI-RS for tracking</w:t>
                            </w:r>
                          </w:p>
                          <w:p w14:paraId="22C361EF" w14:textId="77777777" w:rsidR="00E376B5" w:rsidRPr="007A4B66" w:rsidRDefault="00E376B5" w:rsidP="00C4412A">
                            <w:pPr>
                              <w:pStyle w:val="ListParagraph"/>
                              <w:numPr>
                                <w:ilvl w:val="1"/>
                                <w:numId w:val="20"/>
                              </w:numPr>
                              <w:autoSpaceDN w:val="0"/>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DMRS(s) associated with non-UE-dedicated reception on PDSCH and all/subset of CORESETs</w:t>
                            </w:r>
                          </w:p>
                          <w:p w14:paraId="0E2511D0" w14:textId="5278EEF5" w:rsidR="00E376B5" w:rsidRPr="00AC2F48" w:rsidRDefault="00E376B5" w:rsidP="00C4412A">
                            <w:pPr>
                              <w:pStyle w:val="ListParagraph"/>
                              <w:numPr>
                                <w:ilvl w:val="0"/>
                                <w:numId w:val="20"/>
                              </w:numPr>
                              <w:autoSpaceDN w:val="0"/>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Whether some SRS resources or resource sets for BM can share the same indicated Rel-17 TCI state as dynamic-grant/configured-grant based PUSCH, all or subset of dedicated PUCCH resources in a 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6EA4B6B" id="Text Box 14" o:spid="_x0000_s1028"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" fillcolor="white [3201]" strokeweight=".5pt">
                <v:textbox style="mso-fit-shape-to-text:t">
                  <w:txbxContent>
                    <w:p w14:paraId="287F5EAC" w14:textId="77777777" w:rsidR="00E376B5" w:rsidRPr="007A4B66" w:rsidRDefault="00E376B5" w:rsidP="00AC2F48">
                      <w:pPr>
                        <w:snapToGrid w:val="0"/>
                        <w:rPr>
                          <w:rFonts w:ascii="Times New Roman" w:hAnsi="Times New Roman" w:cs="Times New Roman"/>
                          <w:szCs w:val="20"/>
                        </w:rPr>
                      </w:pPr>
                      <w:r w:rsidRPr="007A4B66">
                        <w:rPr>
                          <w:rFonts w:ascii="Times New Roman" w:hAnsi="Times New Roman" w:cs="Times New Roman"/>
                          <w:b/>
                          <w:bCs/>
                          <w:szCs w:val="20"/>
                          <w:highlight w:val="green"/>
                        </w:rPr>
                        <w:t>Agreement</w:t>
                      </w:r>
                    </w:p>
                    <w:p w14:paraId="395FA2CF" w14:textId="77777777" w:rsidR="00E376B5" w:rsidRPr="007A4B66" w:rsidRDefault="00E376B5" w:rsidP="00AC2F48">
                      <w:pPr>
                        <w:snapToGrid w:val="0"/>
                        <w:rPr>
                          <w:rFonts w:ascii="Times New Roman" w:hAnsi="Times New Roman" w:cs="Times New Roman"/>
                          <w:szCs w:val="20"/>
                        </w:rPr>
                      </w:pPr>
                      <w:r w:rsidRPr="007A4B66">
                        <w:rPr>
                          <w:rFonts w:ascii="Times New Roman" w:hAnsi="Times New Roman" w:cs="Times New Roman"/>
                          <w:szCs w:val="20"/>
                        </w:rPr>
                        <w:t>On Rel.17 unified TCI framework, discuss and decide by RAN1#106-e (August 2021)</w:t>
                      </w:r>
                    </w:p>
                    <w:p w14:paraId="24F5AD20" w14:textId="77777777" w:rsidR="00E376B5" w:rsidRPr="007A4B66" w:rsidRDefault="00E376B5" w:rsidP="00C4412A">
                      <w:pPr>
                        <w:pStyle w:val="ListParagraph"/>
                        <w:numPr>
                          <w:ilvl w:val="0"/>
                          <w:numId w:val="20"/>
                        </w:numPr>
                        <w:autoSpaceDN w:val="0"/>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Whether each of the following DL RSs can share the same indicated Rel-17 TCI state as UE-dedicated reception on PDSCH and for UE-dedicated reception on all or subset of CORESETs in a CC</w:t>
                      </w:r>
                    </w:p>
                    <w:p w14:paraId="7FFF7ADD" w14:textId="77777777" w:rsidR="00E376B5" w:rsidRPr="007A4B66" w:rsidRDefault="00E376B5" w:rsidP="00C4412A">
                      <w:pPr>
                        <w:pStyle w:val="ListParagraph"/>
                        <w:numPr>
                          <w:ilvl w:val="1"/>
                          <w:numId w:val="20"/>
                        </w:numPr>
                        <w:autoSpaceDN w:val="0"/>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rPr>
                        <w:t>CSI-RS resources for CSI</w:t>
                      </w:r>
                    </w:p>
                    <w:p w14:paraId="0719731D" w14:textId="77777777" w:rsidR="00E376B5" w:rsidRPr="007A4B66" w:rsidRDefault="00E376B5" w:rsidP="00C4412A">
                      <w:pPr>
                        <w:pStyle w:val="ListParagraph"/>
                        <w:numPr>
                          <w:ilvl w:val="1"/>
                          <w:numId w:val="20"/>
                        </w:numPr>
                        <w:autoSpaceDN w:val="0"/>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Some CSI-RS resources for BM, if so, which ones (e.g. aperiodic, repetition ‘ON’)</w:t>
                      </w:r>
                    </w:p>
                    <w:p w14:paraId="7661D8B4" w14:textId="77777777" w:rsidR="00E376B5" w:rsidRPr="007A4B66" w:rsidRDefault="00E376B5" w:rsidP="00C4412A">
                      <w:pPr>
                        <w:pStyle w:val="ListParagraph"/>
                        <w:numPr>
                          <w:ilvl w:val="1"/>
                          <w:numId w:val="20"/>
                        </w:numPr>
                        <w:autoSpaceDN w:val="0"/>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rPr>
                        <w:t>CSI-RS for tracking</w:t>
                      </w:r>
                    </w:p>
                    <w:p w14:paraId="22C361EF" w14:textId="77777777" w:rsidR="00E376B5" w:rsidRPr="007A4B66" w:rsidRDefault="00E376B5" w:rsidP="00C4412A">
                      <w:pPr>
                        <w:pStyle w:val="ListParagraph"/>
                        <w:numPr>
                          <w:ilvl w:val="1"/>
                          <w:numId w:val="20"/>
                        </w:numPr>
                        <w:autoSpaceDN w:val="0"/>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DMRS(s) associated with non-UE-dedicated reception on PDSCH and all/subset of CORESETs</w:t>
                      </w:r>
                    </w:p>
                    <w:p w14:paraId="0E2511D0" w14:textId="5278EEF5" w:rsidR="00E376B5" w:rsidRPr="00AC2F48" w:rsidRDefault="00E376B5" w:rsidP="00C4412A">
                      <w:pPr>
                        <w:pStyle w:val="ListParagraph"/>
                        <w:numPr>
                          <w:ilvl w:val="0"/>
                          <w:numId w:val="20"/>
                        </w:numPr>
                        <w:autoSpaceDN w:val="0"/>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Whether some SRS resources or resource sets for BM can share the same indicated Rel-17 TCI state as dynamic-grant/configured-grant based PUSCH, all or subset of dedicated PUCCH resources in a CC</w:t>
                      </w:r>
                    </w:p>
                  </w:txbxContent>
                </v:textbox>
                <w10:anchorlock/>
              </v:shape>
            </w:pict>
          </mc:Fallback>
        </mc:AlternateContent>
      </w:r>
    </w:p>
    <w:p w14:paraId="1D664159" w14:textId="457508D5" w:rsidR="00305535" w:rsidRDefault="00305535" w:rsidP="00305535">
      <w:pPr>
        <w:rPr>
          <w:lang w:val="en-GB" w:eastAsia="ja-JP"/>
        </w:rPr>
      </w:pPr>
      <w:r>
        <w:rPr>
          <w:lang w:val="en-GB" w:eastAsia="ja-JP"/>
        </w:rPr>
        <w:t xml:space="preserve">The CSI-RS can be distinguished by its purpose (CSI acquisition or BM) and time behaviour (periodic, semi-persistent and aperiodic). We will discuss the purpose first, and then </w:t>
      </w:r>
      <w:r w:rsidR="000D38AE">
        <w:rPr>
          <w:lang w:val="en-GB" w:eastAsia="ja-JP"/>
        </w:rPr>
        <w:t>investigate</w:t>
      </w:r>
      <w:r>
        <w:rPr>
          <w:lang w:val="en-GB" w:eastAsia="ja-JP"/>
        </w:rPr>
        <w:t xml:space="preserve"> the time-domain behaviour.</w:t>
      </w:r>
    </w:p>
    <w:p w14:paraId="76E5BFD5" w14:textId="2CFBDE78" w:rsidR="00305535" w:rsidRDefault="00305535" w:rsidP="00305535">
      <w:pPr>
        <w:rPr>
          <w:lang w:val="en-GB" w:eastAsia="ja-JP"/>
        </w:rPr>
      </w:pPr>
      <w:r>
        <w:rPr>
          <w:lang w:val="en-GB" w:eastAsia="ja-JP"/>
        </w:rPr>
        <w:t>CSI-RS for CSI acquisition is used by the UE to estimate the channel quality. The UE reports at least CQI, which the NW uses to select at least MCS for subsequent PDSCH transmissions. In this case, it is clearly relevant that the UE derives the CQI using the QCL assumptions of the PDSCH: only under rare circumstances would any other QCL source be relevant.</w:t>
      </w:r>
      <w:r w:rsidR="00AC2F48">
        <w:rPr>
          <w:lang w:val="en-GB" w:eastAsia="ja-JP"/>
        </w:rPr>
        <w:t xml:space="preserve"> </w:t>
      </w:r>
    </w:p>
    <w:p w14:paraId="66FD39AD" w14:textId="55925ECF" w:rsidR="00305535" w:rsidRDefault="00305535" w:rsidP="00305535">
      <w:pPr>
        <w:rPr>
          <w:lang w:val="en-GB" w:eastAsia="ja-JP"/>
        </w:rPr>
      </w:pPr>
      <w:r>
        <w:rPr>
          <w:lang w:val="en-GB" w:eastAsia="ja-JP"/>
        </w:rPr>
        <w:t>The situation is similar for CSI-RS for BM with repetition ‘off’. The UE reports L1-RSRP/L1-SINR for several CSI-RS resources, which the NW uses to select TX beam. If the UE performs the measurements using the QCL assumptions of the PDCCH/PDSCH, the reported L1-RSRP/L1-SINR measurements would be relevant as long as the UE uses these QCL assumptions. In current beam management deployments, this type of measurements is commonly used.</w:t>
      </w:r>
    </w:p>
    <w:p w14:paraId="1B9A7FE3" w14:textId="77777777" w:rsidR="00305535" w:rsidRDefault="00305535" w:rsidP="00305535">
      <w:pPr>
        <w:rPr>
          <w:lang w:val="en-GB" w:eastAsia="ja-JP"/>
        </w:rPr>
      </w:pPr>
      <w:r>
        <w:rPr>
          <w:lang w:val="en-GB" w:eastAsia="ja-JP"/>
        </w:rPr>
        <w:t>CSI-RS for BM with repetition ‘on’ was introduced to facilitate that the UE performs an Rx beam sweep. The UE will typically utilize a different Rx beam than is used to receive PDCCH/PDSCH when receiving CSI-RS for BM with repetition ‘on’. However, the QCL-TypeD assumptions provided to the UE would be used as a starting point for a potential UE Rx beam sweep, so the QCL-TypeD assumptions are still relevant.</w:t>
      </w:r>
    </w:p>
    <w:p w14:paraId="1128D95F" w14:textId="77777777" w:rsidR="00305535" w:rsidRDefault="00305535" w:rsidP="00305535">
      <w:pPr>
        <w:pStyle w:val="BodyText"/>
      </w:pPr>
      <w:r>
        <w:t>Summing up, we realize that using the QCL assumptions of PDCCH/PDSCH, i.e., the common beam, is a relevant use case for all types of CSI-RS:</w:t>
      </w:r>
    </w:p>
    <w:p w14:paraId="6727C3F0" w14:textId="77777777" w:rsidR="00305535" w:rsidRPr="00821590" w:rsidRDefault="00305535" w:rsidP="00305535">
      <w:pPr>
        <w:pStyle w:val="Observation"/>
      </w:pPr>
      <w:bookmarkStart w:id="1" w:name="_Toc79658911"/>
      <w:r>
        <w:t>Using the QCL assumptions of PDCCH/PDSCH is a relevant use case for all types of CSI-RS resource sets: without repetition, with repetition ‘on’ and with repetition ‘off’.</w:t>
      </w:r>
      <w:bookmarkEnd w:id="1"/>
      <w:r>
        <w:t xml:space="preserve"> </w:t>
      </w:r>
    </w:p>
    <w:p w14:paraId="486148F1" w14:textId="77777777" w:rsidR="000D38AE" w:rsidRDefault="000D38AE" w:rsidP="00124CF8">
      <w:pPr>
        <w:rPr>
          <w:lang w:val="en-GB" w:eastAsia="ja-JP"/>
        </w:rPr>
      </w:pPr>
    </w:p>
    <w:p w14:paraId="7B94B164" w14:textId="18EF46CA" w:rsidR="00305535" w:rsidRDefault="00305535" w:rsidP="00305535">
      <w:pPr>
        <w:rPr>
          <w:lang w:eastAsia="ja-JP"/>
        </w:rPr>
      </w:pPr>
      <w:r>
        <w:rPr>
          <w:lang w:eastAsia="ja-JP"/>
        </w:rPr>
        <w:lastRenderedPageBreak/>
        <w:t>We now study the time-domain behavior of the CSI-RS. In Rel-16, aperiodic CSI-RS is trigger</w:t>
      </w:r>
      <w:r w:rsidR="00890820">
        <w:rPr>
          <w:lang w:eastAsia="ja-JP"/>
        </w:rPr>
        <w:t>ed</w:t>
      </w:r>
      <w:r>
        <w:rPr>
          <w:lang w:eastAsia="ja-JP"/>
        </w:rPr>
        <w:t xml:space="preserve"> using </w:t>
      </w:r>
      <w:r w:rsidRPr="00890820">
        <w:rPr>
          <w:i/>
          <w:iCs/>
          <w:lang w:eastAsia="ja-JP"/>
        </w:rPr>
        <w:t>aperiodic triggering states</w:t>
      </w:r>
      <w:r>
        <w:rPr>
          <w:lang w:eastAsia="ja-JP"/>
        </w:rPr>
        <w:t>, where it is possible to provide QCL assumptions as part of the RRC configuration. However, the UE may also use a default QCL assumption if the scheduling offset between the PDCCH and CSI-RS is smaller than a threshold. This default QCL assumption corresponds to the common beam in Rel-17:</w:t>
      </w:r>
    </w:p>
    <w:p w14:paraId="1266360D" w14:textId="77777777" w:rsidR="00305535" w:rsidRDefault="00305535" w:rsidP="00305535">
      <w:pPr>
        <w:pStyle w:val="Observation"/>
      </w:pPr>
      <w:bookmarkStart w:id="2" w:name="_Toc79658912"/>
      <w:r>
        <w:t>The default QCL assumption of aperiodic CSI-RS in Rel-15 corresponds to the Rel-17 common beam.</w:t>
      </w:r>
      <w:bookmarkEnd w:id="2"/>
      <w:r>
        <w:t xml:space="preserve"> </w:t>
      </w:r>
    </w:p>
    <w:p w14:paraId="763459C6" w14:textId="77777777" w:rsidR="00305535" w:rsidRDefault="00305535" w:rsidP="00305535">
      <w:pPr>
        <w:rPr>
          <w:lang w:eastAsia="ja-JP"/>
        </w:rPr>
      </w:pPr>
      <w:r>
        <w:rPr>
          <w:lang w:eastAsia="ja-JP"/>
        </w:rPr>
        <w:t xml:space="preserve">Here we propose that the Rel-17 common beam is applicable to aperiodic CSI-RS, but without the relation to the scheduling offset: </w:t>
      </w:r>
    </w:p>
    <w:p w14:paraId="516504F4" w14:textId="77777777" w:rsidR="00305535" w:rsidRDefault="00305535" w:rsidP="00305535">
      <w:pPr>
        <w:pStyle w:val="Proposal"/>
        <w:rPr>
          <w:lang w:eastAsia="ja-JP"/>
        </w:rPr>
      </w:pPr>
      <w:bookmarkStart w:id="3" w:name="_Ref78887146"/>
      <w:bookmarkStart w:id="4" w:name="_Toc79658923"/>
      <w:r>
        <w:rPr>
          <w:lang w:eastAsia="ja-JP"/>
        </w:rPr>
        <w:t>If the UE is not provided a TCI state in the aperiodic triggering state, the UE applies the QCL assumptions of the PDCCH/PDSCH when receiving the CSI-RS.</w:t>
      </w:r>
      <w:bookmarkEnd w:id="3"/>
      <w:bookmarkEnd w:id="4"/>
    </w:p>
    <w:p w14:paraId="2B7BE094" w14:textId="2E7B673C" w:rsidR="00305535" w:rsidRDefault="00305535" w:rsidP="00305535">
      <w:pPr>
        <w:rPr>
          <w:lang w:eastAsia="ja-JP"/>
        </w:rPr>
      </w:pPr>
      <w:r>
        <w:rPr>
          <w:lang w:eastAsia="ja-JP"/>
        </w:rPr>
        <w:t xml:space="preserve">We thus propose to reuse the default behavior from Rel-15/16 and extend it to </w:t>
      </w:r>
      <w:r w:rsidRPr="00890820">
        <w:rPr>
          <w:i/>
          <w:iCs/>
          <w:lang w:eastAsia="ja-JP"/>
        </w:rPr>
        <w:t xml:space="preserve">all </w:t>
      </w:r>
      <w:r>
        <w:rPr>
          <w:lang w:eastAsia="ja-JP"/>
        </w:rPr>
        <w:t xml:space="preserve">scheduling offsets. </w:t>
      </w:r>
    </w:p>
    <w:p w14:paraId="4A6362BC" w14:textId="77777777" w:rsidR="00305535" w:rsidRDefault="00305535" w:rsidP="00305535">
      <w:pPr>
        <w:rPr>
          <w:lang w:eastAsia="ja-JP"/>
        </w:rPr>
      </w:pPr>
      <w:r>
        <w:rPr>
          <w:lang w:eastAsia="ja-JP"/>
        </w:rPr>
        <w:t>For periodic CSI-RS, the same paradigm can be used: if there is no TCI state configured to the UE, the UE uses the QCL assumptions of the PDCCH/PDSCH when receiving the CSI-RS:</w:t>
      </w:r>
    </w:p>
    <w:p w14:paraId="61CF9F63" w14:textId="77777777" w:rsidR="00305535" w:rsidRDefault="00305535" w:rsidP="00305535">
      <w:pPr>
        <w:pStyle w:val="Proposal"/>
        <w:rPr>
          <w:lang w:eastAsia="ja-JP"/>
        </w:rPr>
      </w:pPr>
      <w:bookmarkStart w:id="5" w:name="_Ref78887151"/>
      <w:bookmarkStart w:id="6" w:name="_Toc79658924"/>
      <w:r>
        <w:rPr>
          <w:lang w:eastAsia="ja-JP"/>
        </w:rPr>
        <w:t xml:space="preserve">If the UE is not provided with </w:t>
      </w:r>
      <w:r w:rsidRPr="006F1299">
        <w:rPr>
          <w:lang w:eastAsia="ja-JP"/>
        </w:rPr>
        <w:t xml:space="preserve">qcl-InfoPeriodicCSI-RS </w:t>
      </w:r>
      <w:r>
        <w:rPr>
          <w:lang w:eastAsia="ja-JP"/>
        </w:rPr>
        <w:t xml:space="preserve">for a periodic CSI-RS resource, </w:t>
      </w:r>
      <w:r w:rsidRPr="006F1299">
        <w:rPr>
          <w:lang w:eastAsia="ja-JP"/>
        </w:rPr>
        <w:t>the</w:t>
      </w:r>
      <w:r>
        <w:rPr>
          <w:lang w:eastAsia="ja-JP"/>
        </w:rPr>
        <w:t xml:space="preserve"> UE applies the QCL assumptions of the PDCCH/PDSCH when receiving the CSI-RS.</w:t>
      </w:r>
      <w:bookmarkEnd w:id="5"/>
      <w:bookmarkEnd w:id="6"/>
    </w:p>
    <w:p w14:paraId="752271AD" w14:textId="77777777" w:rsidR="00305535" w:rsidRDefault="00305535" w:rsidP="00305535">
      <w:pPr>
        <w:rPr>
          <w:lang w:eastAsia="ja-JP"/>
        </w:rPr>
      </w:pPr>
      <w:r>
        <w:rPr>
          <w:lang w:eastAsia="ja-JP"/>
        </w:rPr>
        <w:t>For semi-persistent CSI-RS, a similar paradigm can be used:</w:t>
      </w:r>
    </w:p>
    <w:p w14:paraId="456FFC73" w14:textId="77777777" w:rsidR="00305535" w:rsidRDefault="00305535" w:rsidP="00305535">
      <w:pPr>
        <w:pStyle w:val="Proposal"/>
        <w:rPr>
          <w:lang w:eastAsia="ja-JP"/>
        </w:rPr>
      </w:pPr>
      <w:bookmarkStart w:id="7" w:name="_Ref78887153"/>
      <w:bookmarkStart w:id="8" w:name="_Toc79658925"/>
      <w:r>
        <w:rPr>
          <w:lang w:eastAsia="ja-JP"/>
        </w:rPr>
        <w:t xml:space="preserve">If there is no TCI state in the </w:t>
      </w:r>
      <w:r w:rsidRPr="003F19BA">
        <w:rPr>
          <w:lang w:eastAsia="ja-JP"/>
        </w:rPr>
        <w:t xml:space="preserve">SP CSI-RS/CSI-IM Resource Set Activation/Deactivation MAC </w:t>
      </w:r>
      <w:r>
        <w:rPr>
          <w:lang w:eastAsia="ja-JP"/>
        </w:rPr>
        <w:t xml:space="preserve">CE, </w:t>
      </w:r>
      <w:r w:rsidRPr="006F1299">
        <w:rPr>
          <w:lang w:eastAsia="ja-JP"/>
        </w:rPr>
        <w:t>the</w:t>
      </w:r>
      <w:r>
        <w:rPr>
          <w:lang w:eastAsia="ja-JP"/>
        </w:rPr>
        <w:t xml:space="preserve"> UE applies the QCL assumptions of the PDCCH/PDSCH when receiving the CSI-RS.</w:t>
      </w:r>
      <w:bookmarkEnd w:id="7"/>
      <w:bookmarkEnd w:id="8"/>
    </w:p>
    <w:p w14:paraId="4118C9E8" w14:textId="64415326" w:rsidR="00305535" w:rsidRDefault="00890820" w:rsidP="00305535">
      <w:pPr>
        <w:rPr>
          <w:lang w:eastAsia="ja-JP"/>
        </w:rPr>
      </w:pPr>
      <w:r>
        <w:rPr>
          <w:lang w:eastAsia="ja-JP"/>
        </w:rPr>
        <w:t>For</w:t>
      </w:r>
      <w:r w:rsidR="00305535">
        <w:rPr>
          <w:lang w:eastAsia="ja-JP"/>
        </w:rPr>
        <w:t xml:space="preserve"> a CSI-RS used as </w:t>
      </w:r>
      <w:r w:rsidR="00305535" w:rsidRPr="006F1299">
        <w:rPr>
          <w:lang w:eastAsia="ja-JP"/>
        </w:rPr>
        <w:t>source reference signal(s) in DL TCI</w:t>
      </w:r>
      <w:r w:rsidR="00305535">
        <w:rPr>
          <w:lang w:eastAsia="ja-JP"/>
        </w:rPr>
        <w:t xml:space="preserve">, a TCI state </w:t>
      </w:r>
      <w:r w:rsidR="00305535" w:rsidRPr="00890820">
        <w:rPr>
          <w:i/>
          <w:iCs/>
          <w:lang w:eastAsia="ja-JP"/>
        </w:rPr>
        <w:t>must</w:t>
      </w:r>
      <w:r w:rsidR="00305535">
        <w:rPr>
          <w:lang w:eastAsia="ja-JP"/>
        </w:rPr>
        <w:t xml:space="preserve"> of course be provided.</w:t>
      </w:r>
    </w:p>
    <w:p w14:paraId="70D31986" w14:textId="6D871A12" w:rsidR="000D38AE" w:rsidRDefault="000D38AE" w:rsidP="000D38AE">
      <w:pPr>
        <w:rPr>
          <w:lang w:val="en-GB" w:eastAsia="ja-JP"/>
        </w:rPr>
      </w:pPr>
      <w:r>
        <w:rPr>
          <w:lang w:val="en-GB" w:eastAsia="ja-JP"/>
        </w:rPr>
        <w:t>Note that it may also be relevant that the UE provides measurements on CSI-RS using other QCL assumptions. Rel-15/16 provides such possibilities, and we think this should be possible also in Rel-17:</w:t>
      </w:r>
    </w:p>
    <w:p w14:paraId="6D8A33E3" w14:textId="1B0C4E74" w:rsidR="00305535" w:rsidRPr="000D38AE" w:rsidRDefault="000D38AE" w:rsidP="00CA6C2B">
      <w:pPr>
        <w:pStyle w:val="Proposal"/>
        <w:rPr>
          <w:lang w:eastAsia="ja-JP"/>
        </w:rPr>
      </w:pPr>
      <w:bookmarkStart w:id="9" w:name="_Toc79658926"/>
      <w:r>
        <w:rPr>
          <w:lang w:eastAsia="ja-JP"/>
        </w:rPr>
        <w:t>It should be possible to explicitly provide the UE with a Rel-17 TCI state different from the TCI state of the PDCCH/PDSCH for the purpose of measurements on CSI-RS.</w:t>
      </w:r>
      <w:bookmarkEnd w:id="9"/>
    </w:p>
    <w:p w14:paraId="6B5EA09A" w14:textId="75CF738B" w:rsidR="00305535" w:rsidRDefault="000D38AE" w:rsidP="00CA6C2B">
      <w:pPr>
        <w:rPr>
          <w:lang w:val="en-GB" w:eastAsia="ja-JP"/>
        </w:rPr>
      </w:pPr>
      <w:r>
        <w:rPr>
          <w:lang w:eastAsia="ja-JP"/>
        </w:rPr>
        <w:t xml:space="preserve">The mechanisms to provide the UE with the QCL sources for the </w:t>
      </w:r>
      <w:r w:rsidR="00171766">
        <w:rPr>
          <w:lang w:val="en-GB" w:eastAsia="ja-JP"/>
        </w:rPr>
        <w:t>CSI-RS</w:t>
      </w:r>
      <w:r>
        <w:rPr>
          <w:lang w:val="en-GB" w:eastAsia="ja-JP"/>
        </w:rPr>
        <w:t xml:space="preserve"> measurements will be discussed next</w:t>
      </w:r>
      <w:r w:rsidR="00171766">
        <w:rPr>
          <w:lang w:val="en-GB" w:eastAsia="ja-JP"/>
        </w:rPr>
        <w:t>.</w:t>
      </w:r>
      <w:r>
        <w:rPr>
          <w:lang w:val="en-GB" w:eastAsia="ja-JP"/>
        </w:rPr>
        <w:t xml:space="preserve"> In RAN1#105-e, the following agreement was reached:</w:t>
      </w:r>
      <w:r w:rsidR="00171766">
        <w:rPr>
          <w:lang w:val="en-GB" w:eastAsia="ja-JP"/>
        </w:rPr>
        <w:t xml:space="preserve"> </w:t>
      </w:r>
    </w:p>
    <w:p w14:paraId="56EB5D17" w14:textId="3FC46FBB" w:rsidR="00305535" w:rsidRPr="00305535" w:rsidRDefault="00305535" w:rsidP="00CA6C2B">
      <w:pPr>
        <w:rPr>
          <w:lang w:val="x-none" w:eastAsia="ja-JP"/>
        </w:rPr>
      </w:pPr>
      <w:r>
        <w:rPr>
          <w:noProof/>
        </w:rPr>
        <mc:AlternateContent>
          <mc:Choice Requires="wps">
            <w:drawing>
              <wp:inline distT="0" distB="0" distL="0" distR="0" wp14:anchorId="6DFF1CD1" wp14:editId="1FA0A19B">
                <wp:extent cx="6120765" cy="1804168"/>
                <wp:effectExtent l="0" t="0" r="13335" b="17145"/>
                <wp:docPr id="9" name="Text Box 9"/>
                <wp:cNvGraphicFramePr/>
                <a:graphic xmlns:a="http://schemas.openxmlformats.org/drawingml/2006/main">
                  <a:graphicData uri="http://schemas.microsoft.com/office/word/2010/wordprocessingShape">
                    <wps:wsp>
                      <wps:cNvSpPr txBox="1"/>
                      <wps:spPr>
                        <a:xfrm>
                          <a:off x="0" y="0"/>
                          <a:ext cx="6120765" cy="1804168"/>
                        </a:xfrm>
                        <a:prstGeom prst="rect">
                          <a:avLst/>
                        </a:prstGeom>
                        <a:solidFill>
                          <a:schemeClr val="lt1"/>
                        </a:solidFill>
                        <a:ln w="6350">
                          <a:solidFill>
                            <a:prstClr val="black"/>
                          </a:solidFill>
                        </a:ln>
                      </wps:spPr>
                      <wps:txbx>
                        <w:txbxContent>
                          <w:p w14:paraId="41FE3EB5" w14:textId="77777777" w:rsidR="00E376B5" w:rsidRPr="007A4B66" w:rsidRDefault="00E376B5" w:rsidP="00305535">
                            <w:pPr>
                              <w:snapToGrid w:val="0"/>
                              <w:rPr>
                                <w:rFonts w:ascii="Times New Roman" w:hAnsi="Times New Roman" w:cs="Times New Roman"/>
                                <w:szCs w:val="20"/>
                              </w:rPr>
                            </w:pPr>
                            <w:r w:rsidRPr="007A4B66">
                              <w:rPr>
                                <w:rFonts w:ascii="Times New Roman" w:hAnsi="Times New Roman" w:cs="Times New Roman"/>
                                <w:b/>
                                <w:bCs/>
                                <w:szCs w:val="20"/>
                                <w:highlight w:val="green"/>
                              </w:rPr>
                              <w:t>Agreement</w:t>
                            </w:r>
                          </w:p>
                          <w:p w14:paraId="51B88596" w14:textId="77777777" w:rsidR="00E376B5" w:rsidRPr="007A4B66" w:rsidRDefault="00E376B5" w:rsidP="00305535">
                            <w:pPr>
                              <w:snapToGrid w:val="0"/>
                              <w:jc w:val="both"/>
                              <w:rPr>
                                <w:rFonts w:ascii="Times New Roman" w:hAnsi="Times New Roman" w:cs="Times New Roman"/>
                                <w:szCs w:val="20"/>
                              </w:rPr>
                            </w:pPr>
                            <w:r w:rsidRPr="007A4B66">
                              <w:rPr>
                                <w:rFonts w:ascii="Times New Roman" w:hAnsi="Times New Roman" w:cs="Times New Roman"/>
                                <w:szCs w:val="20"/>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2EE9B18C" w14:textId="77777777" w:rsidR="00E376B5" w:rsidRPr="007A4B66" w:rsidRDefault="00E376B5" w:rsidP="00C4412A">
                            <w:pPr>
                              <w:pStyle w:val="ListParagraph"/>
                              <w:numPr>
                                <w:ilvl w:val="0"/>
                                <w:numId w:val="40"/>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Alt1. Rel-15/16 TCI state update signaling/configuration mechanism(s) are reused to update/configure the Rel-17 TCI state </w:t>
                            </w:r>
                          </w:p>
                          <w:p w14:paraId="564D0A78" w14:textId="77777777" w:rsidR="00E376B5" w:rsidRPr="007A4B66" w:rsidRDefault="00E376B5" w:rsidP="00C4412A">
                            <w:pPr>
                              <w:pStyle w:val="ListParagraph"/>
                              <w:numPr>
                                <w:ilvl w:val="0"/>
                                <w:numId w:val="40"/>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Alt2. Rel-17 TCI state update signaling/configuration mechanism(s) are used, e.g. with Rel-17 MAC-CE/DCI-based beam indication for Rel-17 joint/separate TCI</w:t>
                            </w:r>
                          </w:p>
                          <w:p w14:paraId="649789CA" w14:textId="77777777" w:rsidR="00E376B5" w:rsidRPr="007A4B66" w:rsidRDefault="00E376B5" w:rsidP="00305535">
                            <w:pPr>
                              <w:snapToGrid w:val="0"/>
                              <w:jc w:val="both"/>
                              <w:rPr>
                                <w:rFonts w:ascii="Times New Roman" w:hAnsi="Times New Roman" w:cs="Times New Roman"/>
                                <w:szCs w:val="20"/>
                              </w:rPr>
                            </w:pPr>
                            <w:r w:rsidRPr="007A4B66">
                              <w:rPr>
                                <w:rFonts w:ascii="Times New Roman" w:hAnsi="Times New Roman" w:cs="Times New Roman"/>
                                <w:szCs w:val="20"/>
                              </w:rPr>
                              <w:t>Note: The DL RS includes CSI-RS and DMRS for PDSCH or PDCCH</w:t>
                            </w:r>
                          </w:p>
                          <w:p w14:paraId="03571B71" w14:textId="323751E8" w:rsidR="00E376B5" w:rsidRPr="00305535" w:rsidRDefault="00E376B5" w:rsidP="00305535">
                            <w:pPr>
                              <w:snapToGrid w:val="0"/>
                              <w:jc w:val="both"/>
                              <w:rPr>
                                <w:rFonts w:ascii="Times New Roman" w:hAnsi="Times New Roman" w:cs="Times New Roman"/>
                                <w:szCs w:val="20"/>
                              </w:rPr>
                            </w:pPr>
                            <w:r w:rsidRPr="007A4B66">
                              <w:rPr>
                                <w:rFonts w:ascii="Times New Roman" w:hAnsi="Times New Roman" w:cs="Times New Roman"/>
                                <w:szCs w:val="20"/>
                              </w:rPr>
                              <w:t>Note: For some channels/signals, only one of the above two alternatives may apply (to be discussed).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DFF1CD1" id="Text Box 9" o:spid="_x0000_s1029" type="#_x0000_t202" style="width:481.95pt;height:14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" fillcolor="white [3201]" strokeweight=".5pt">
                <v:textbox style="mso-fit-shape-to-text:t">
                  <w:txbxContent>
                    <w:p w14:paraId="41FE3EB5" w14:textId="77777777" w:rsidR="00E376B5" w:rsidRPr="007A4B66" w:rsidRDefault="00E376B5" w:rsidP="00305535">
                      <w:pPr>
                        <w:snapToGrid w:val="0"/>
                        <w:rPr>
                          <w:rFonts w:ascii="Times New Roman" w:hAnsi="Times New Roman" w:cs="Times New Roman"/>
                          <w:szCs w:val="20"/>
                        </w:rPr>
                      </w:pPr>
                      <w:r w:rsidRPr="007A4B66">
                        <w:rPr>
                          <w:rFonts w:ascii="Times New Roman" w:hAnsi="Times New Roman" w:cs="Times New Roman"/>
                          <w:b/>
                          <w:bCs/>
                          <w:szCs w:val="20"/>
                          <w:highlight w:val="green"/>
                        </w:rPr>
                        <w:t>Agreement</w:t>
                      </w:r>
                    </w:p>
                    <w:p w14:paraId="51B88596" w14:textId="77777777" w:rsidR="00E376B5" w:rsidRPr="007A4B66" w:rsidRDefault="00E376B5" w:rsidP="00305535">
                      <w:pPr>
                        <w:snapToGrid w:val="0"/>
                        <w:jc w:val="both"/>
                        <w:rPr>
                          <w:rFonts w:ascii="Times New Roman" w:hAnsi="Times New Roman" w:cs="Times New Roman"/>
                          <w:szCs w:val="20"/>
                        </w:rPr>
                      </w:pPr>
                      <w:r w:rsidRPr="007A4B66">
                        <w:rPr>
                          <w:rFonts w:ascii="Times New Roman" w:hAnsi="Times New Roman" w:cs="Times New Roman"/>
                          <w:szCs w:val="20"/>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2EE9B18C" w14:textId="77777777" w:rsidR="00E376B5" w:rsidRPr="007A4B66" w:rsidRDefault="00E376B5" w:rsidP="00C4412A">
                      <w:pPr>
                        <w:pStyle w:val="ListParagraph"/>
                        <w:numPr>
                          <w:ilvl w:val="0"/>
                          <w:numId w:val="40"/>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Alt1. Rel-15/16 TCI state update signaling/configuration mechanism(s) are reused to update/configure the Rel-17 TCI state </w:t>
                      </w:r>
                    </w:p>
                    <w:p w14:paraId="564D0A78" w14:textId="77777777" w:rsidR="00E376B5" w:rsidRPr="007A4B66" w:rsidRDefault="00E376B5" w:rsidP="00C4412A">
                      <w:pPr>
                        <w:pStyle w:val="ListParagraph"/>
                        <w:numPr>
                          <w:ilvl w:val="0"/>
                          <w:numId w:val="40"/>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Alt2. Rel-17 TCI state update signaling/configuration mechanism(s) are used, e.g. with Rel-17 MAC-CE/DCI-based beam indication for Rel-17 joint/separate TCI</w:t>
                      </w:r>
                    </w:p>
                    <w:p w14:paraId="649789CA" w14:textId="77777777" w:rsidR="00E376B5" w:rsidRPr="007A4B66" w:rsidRDefault="00E376B5" w:rsidP="00305535">
                      <w:pPr>
                        <w:snapToGrid w:val="0"/>
                        <w:jc w:val="both"/>
                        <w:rPr>
                          <w:rFonts w:ascii="Times New Roman" w:hAnsi="Times New Roman" w:cs="Times New Roman"/>
                          <w:szCs w:val="20"/>
                        </w:rPr>
                      </w:pPr>
                      <w:r w:rsidRPr="007A4B66">
                        <w:rPr>
                          <w:rFonts w:ascii="Times New Roman" w:hAnsi="Times New Roman" w:cs="Times New Roman"/>
                          <w:szCs w:val="20"/>
                        </w:rPr>
                        <w:t>Note: The DL RS includes CSI-RS and DMRS for PDSCH or PDCCH</w:t>
                      </w:r>
                    </w:p>
                    <w:p w14:paraId="03571B71" w14:textId="323751E8" w:rsidR="00E376B5" w:rsidRPr="00305535" w:rsidRDefault="00E376B5" w:rsidP="00305535">
                      <w:pPr>
                        <w:snapToGrid w:val="0"/>
                        <w:jc w:val="both"/>
                        <w:rPr>
                          <w:rFonts w:ascii="Times New Roman" w:hAnsi="Times New Roman" w:cs="Times New Roman"/>
                          <w:szCs w:val="20"/>
                        </w:rPr>
                      </w:pPr>
                      <w:r w:rsidRPr="007A4B66">
                        <w:rPr>
                          <w:rFonts w:ascii="Times New Roman" w:hAnsi="Times New Roman" w:cs="Times New Roman"/>
                          <w:szCs w:val="20"/>
                        </w:rPr>
                        <w:t>Note: For some channels/signals, only one of the above two alternatives may apply (to be discussed).</w:t>
                      </w:r>
                    </w:p>
                  </w:txbxContent>
                </v:textbox>
                <w10:anchorlock/>
              </v:shape>
            </w:pict>
          </mc:Fallback>
        </mc:AlternateContent>
      </w:r>
    </w:p>
    <w:p w14:paraId="4A8CD43D" w14:textId="4EFCBD71" w:rsidR="00171766" w:rsidRDefault="00E16D36" w:rsidP="00CA6C2B">
      <w:pPr>
        <w:rPr>
          <w:lang w:val="en-GB" w:eastAsia="ja-JP"/>
        </w:rPr>
      </w:pPr>
      <w:r>
        <w:rPr>
          <w:lang w:val="en-GB" w:eastAsia="ja-JP"/>
        </w:rPr>
        <w:t xml:space="preserve">The agreement talks about any DL RS that does not share the </w:t>
      </w:r>
      <w:r w:rsidRPr="00E16D36">
        <w:rPr>
          <w:lang w:val="en-GB" w:eastAsia="ja-JP"/>
        </w:rPr>
        <w:t>same indicated Rel-17 TCI state(s) as UE-dedicated reception on PDSCH</w:t>
      </w:r>
      <w:r>
        <w:rPr>
          <w:lang w:val="en-GB" w:eastAsia="ja-JP"/>
        </w:rPr>
        <w:t xml:space="preserve">. Here we choose to focus on CSI-RS. </w:t>
      </w:r>
      <w:r w:rsidR="00171766">
        <w:rPr>
          <w:lang w:val="en-GB" w:eastAsia="ja-JP"/>
        </w:rPr>
        <w:t>In Rel-15/16, the signalling mechanisms differ, depending on the time-domain behaviour of the target CSI-RS</w:t>
      </w:r>
      <w:r w:rsidR="000D38AE">
        <w:rPr>
          <w:lang w:val="en-GB" w:eastAsia="ja-JP"/>
        </w:rPr>
        <w:t>, whereas only one signaling mechanism has been discussed for Rel-17</w:t>
      </w:r>
      <w:r w:rsidR="00171766">
        <w:rPr>
          <w:lang w:val="en-GB" w:eastAsia="ja-JP"/>
        </w:rPr>
        <w:t>. Essentially, we think that the signalling mechanisms from Rel-15/16 can be reused: the only difference is that the signalling will point to a Rel-17 TCI state, rather than a Rel-15/16 TCI state:</w:t>
      </w:r>
    </w:p>
    <w:p w14:paraId="79513700" w14:textId="6FEEEA02" w:rsidR="00171766" w:rsidRPr="00CA6C2B" w:rsidRDefault="00171766" w:rsidP="00171766">
      <w:pPr>
        <w:pStyle w:val="Proposal"/>
        <w:rPr>
          <w:lang w:val="en-GB"/>
        </w:rPr>
      </w:pPr>
      <w:bookmarkStart w:id="10" w:name="_Toc79658927"/>
      <w:r>
        <w:rPr>
          <w:lang w:val="en-GB"/>
        </w:rPr>
        <w:lastRenderedPageBreak/>
        <w:t>Reuse the Rel-15/16 QCL source signaling for all types of CSI-RS.</w:t>
      </w:r>
      <w:bookmarkEnd w:id="10"/>
      <w:r>
        <w:rPr>
          <w:lang w:val="en-GB"/>
        </w:rPr>
        <w:t xml:space="preserve"> </w:t>
      </w:r>
    </w:p>
    <w:p w14:paraId="03474ACC" w14:textId="77777777" w:rsidR="00171766" w:rsidRDefault="00171766" w:rsidP="00CA6C2B">
      <w:pPr>
        <w:rPr>
          <w:lang w:val="en-GB" w:eastAsia="ja-JP"/>
        </w:rPr>
      </w:pPr>
      <w:r>
        <w:rPr>
          <w:lang w:val="en-GB" w:eastAsia="ja-JP"/>
        </w:rPr>
        <w:t xml:space="preserve">This means that </w:t>
      </w:r>
    </w:p>
    <w:p w14:paraId="6E2BA3DF" w14:textId="7A554B56" w:rsidR="00171766" w:rsidRPr="00171766" w:rsidRDefault="00171766" w:rsidP="00C4412A">
      <w:pPr>
        <w:pStyle w:val="ListParagraph"/>
        <w:numPr>
          <w:ilvl w:val="1"/>
          <w:numId w:val="39"/>
        </w:numPr>
        <w:rPr>
          <w:rFonts w:ascii="Arial" w:hAnsi="Arial" w:cs="Arial"/>
          <w:sz w:val="20"/>
          <w:szCs w:val="20"/>
          <w:lang w:val="en-GB" w:eastAsia="ja-JP"/>
        </w:rPr>
      </w:pPr>
      <w:r w:rsidRPr="00171766">
        <w:rPr>
          <w:rFonts w:ascii="Arial" w:hAnsi="Arial" w:cs="Arial"/>
          <w:sz w:val="20"/>
          <w:szCs w:val="20"/>
          <w:lang w:val="en-GB" w:eastAsia="ja-JP"/>
        </w:rPr>
        <w:t xml:space="preserve">the QCL source for periodic CSI-RS will be optionally configured using RRC </w:t>
      </w:r>
    </w:p>
    <w:p w14:paraId="368B59F7" w14:textId="4576BDF2" w:rsidR="00171766" w:rsidRPr="00171766" w:rsidRDefault="00171766" w:rsidP="00C4412A">
      <w:pPr>
        <w:pStyle w:val="ListParagraph"/>
        <w:numPr>
          <w:ilvl w:val="1"/>
          <w:numId w:val="39"/>
        </w:numPr>
        <w:rPr>
          <w:rFonts w:ascii="Arial" w:hAnsi="Arial" w:cs="Arial"/>
          <w:sz w:val="20"/>
          <w:szCs w:val="20"/>
          <w:lang w:val="en-GB" w:eastAsia="ja-JP"/>
        </w:rPr>
      </w:pPr>
      <w:r w:rsidRPr="00171766">
        <w:rPr>
          <w:rFonts w:ascii="Arial" w:hAnsi="Arial" w:cs="Arial"/>
          <w:sz w:val="20"/>
          <w:szCs w:val="20"/>
          <w:lang w:val="en-GB" w:eastAsia="ja-JP"/>
        </w:rPr>
        <w:t xml:space="preserve">the QCL source for semi-persistent CSI-RS will be </w:t>
      </w:r>
      <w:r w:rsidR="002970CC">
        <w:rPr>
          <w:rFonts w:ascii="Arial" w:hAnsi="Arial" w:cs="Arial"/>
          <w:sz w:val="20"/>
          <w:szCs w:val="20"/>
          <w:lang w:val="en-GB" w:eastAsia="ja-JP"/>
        </w:rPr>
        <w:t xml:space="preserve">optionally </w:t>
      </w:r>
      <w:r w:rsidRPr="00171766">
        <w:rPr>
          <w:rFonts w:ascii="Arial" w:hAnsi="Arial" w:cs="Arial"/>
          <w:sz w:val="20"/>
          <w:szCs w:val="20"/>
          <w:lang w:val="en-GB" w:eastAsia="ja-JP"/>
        </w:rPr>
        <w:t>provided using MAC CE</w:t>
      </w:r>
    </w:p>
    <w:p w14:paraId="17C64710" w14:textId="7DEB7DE0" w:rsidR="00171766" w:rsidRDefault="00171766" w:rsidP="00C4412A">
      <w:pPr>
        <w:pStyle w:val="ListParagraph"/>
        <w:numPr>
          <w:ilvl w:val="1"/>
          <w:numId w:val="39"/>
        </w:numPr>
        <w:rPr>
          <w:rFonts w:ascii="Arial" w:hAnsi="Arial" w:cs="Arial"/>
          <w:sz w:val="20"/>
          <w:szCs w:val="20"/>
          <w:lang w:val="en-GB" w:eastAsia="ja-JP"/>
        </w:rPr>
      </w:pPr>
      <w:r w:rsidRPr="00171766">
        <w:rPr>
          <w:rFonts w:ascii="Arial" w:hAnsi="Arial" w:cs="Arial"/>
          <w:sz w:val="20"/>
          <w:szCs w:val="20"/>
          <w:lang w:val="en-GB" w:eastAsia="ja-JP"/>
        </w:rPr>
        <w:t xml:space="preserve">the QCL source for aperiodic CSI-RS will be </w:t>
      </w:r>
      <w:r w:rsidR="002970CC">
        <w:rPr>
          <w:rFonts w:ascii="Arial" w:hAnsi="Arial" w:cs="Arial"/>
          <w:sz w:val="20"/>
          <w:szCs w:val="20"/>
          <w:lang w:val="en-GB" w:eastAsia="ja-JP"/>
        </w:rPr>
        <w:t xml:space="preserve">optionally </w:t>
      </w:r>
      <w:r w:rsidRPr="00171766">
        <w:rPr>
          <w:rFonts w:ascii="Arial" w:hAnsi="Arial" w:cs="Arial"/>
          <w:sz w:val="20"/>
          <w:szCs w:val="20"/>
          <w:lang w:val="en-GB" w:eastAsia="ja-JP"/>
        </w:rPr>
        <w:t>provided using a combination of RRC, MAC CE and DCI</w:t>
      </w:r>
    </w:p>
    <w:p w14:paraId="3EB447B5" w14:textId="6578C358" w:rsidR="006F1299" w:rsidRPr="002970CC" w:rsidRDefault="002970CC" w:rsidP="002970CC">
      <w:pPr>
        <w:pStyle w:val="BodyText"/>
        <w:rPr>
          <w:lang w:val="en-GB" w:eastAsia="ja-JP"/>
        </w:rPr>
      </w:pPr>
      <w:r>
        <w:rPr>
          <w:lang w:val="en-GB" w:eastAsia="ja-JP"/>
        </w:rPr>
        <w:t xml:space="preserve">For </w:t>
      </w:r>
      <w:r w:rsidRPr="002970CC">
        <w:t>the</w:t>
      </w:r>
      <w:r>
        <w:rPr>
          <w:lang w:val="en-GB" w:eastAsia="ja-JP"/>
        </w:rPr>
        <w:t xml:space="preserve"> cases where no QCL source is provided, the measurement will be performed using the default QCL assumption, as described in </w:t>
      </w:r>
      <w:r>
        <w:rPr>
          <w:lang w:val="en-GB" w:eastAsia="ja-JP"/>
        </w:rPr>
        <w:fldChar w:fldCharType="begin"/>
      </w:r>
      <w:r>
        <w:rPr>
          <w:lang w:val="en-GB" w:eastAsia="ja-JP"/>
        </w:rPr>
        <w:instrText xml:space="preserve"> REF _Ref78887146 \r \h </w:instrText>
      </w:r>
      <w:r>
        <w:rPr>
          <w:lang w:val="en-GB" w:eastAsia="ja-JP"/>
        </w:rPr>
      </w:r>
      <w:r>
        <w:rPr>
          <w:lang w:val="en-GB" w:eastAsia="ja-JP"/>
        </w:rPr>
        <w:fldChar w:fldCharType="separate"/>
      </w:r>
      <w:r w:rsidR="004F6468">
        <w:rPr>
          <w:lang w:val="en-GB" w:eastAsia="ja-JP"/>
        </w:rPr>
        <w:t>Proposal 1</w:t>
      </w:r>
      <w:r>
        <w:rPr>
          <w:lang w:val="en-GB" w:eastAsia="ja-JP"/>
        </w:rPr>
        <w:fldChar w:fldCharType="end"/>
      </w:r>
      <w:r>
        <w:rPr>
          <w:lang w:val="en-GB" w:eastAsia="ja-JP"/>
        </w:rPr>
        <w:t xml:space="preserve">, </w:t>
      </w:r>
      <w:r>
        <w:rPr>
          <w:lang w:val="en-GB" w:eastAsia="ja-JP"/>
        </w:rPr>
        <w:fldChar w:fldCharType="begin"/>
      </w:r>
      <w:r>
        <w:rPr>
          <w:lang w:val="en-GB" w:eastAsia="ja-JP"/>
        </w:rPr>
        <w:instrText xml:space="preserve"> REF _Ref78887151 \r \h </w:instrText>
      </w:r>
      <w:r>
        <w:rPr>
          <w:lang w:val="en-GB" w:eastAsia="ja-JP"/>
        </w:rPr>
      </w:r>
      <w:r>
        <w:rPr>
          <w:lang w:val="en-GB" w:eastAsia="ja-JP"/>
        </w:rPr>
        <w:fldChar w:fldCharType="separate"/>
      </w:r>
      <w:r w:rsidR="004F6468">
        <w:rPr>
          <w:lang w:val="en-GB" w:eastAsia="ja-JP"/>
        </w:rPr>
        <w:t>Proposal 2</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_Ref78887153 \r \h </w:instrText>
      </w:r>
      <w:r>
        <w:rPr>
          <w:lang w:val="en-GB" w:eastAsia="ja-JP"/>
        </w:rPr>
      </w:r>
      <w:r>
        <w:rPr>
          <w:lang w:val="en-GB" w:eastAsia="ja-JP"/>
        </w:rPr>
        <w:fldChar w:fldCharType="separate"/>
      </w:r>
      <w:r w:rsidR="004F6468">
        <w:rPr>
          <w:lang w:val="en-GB" w:eastAsia="ja-JP"/>
        </w:rPr>
        <w:t>Proposal 3</w:t>
      </w:r>
      <w:r>
        <w:rPr>
          <w:lang w:val="en-GB" w:eastAsia="ja-JP"/>
        </w:rPr>
        <w:fldChar w:fldCharType="end"/>
      </w:r>
      <w:r>
        <w:rPr>
          <w:lang w:val="en-GB" w:eastAsia="ja-JP"/>
        </w:rPr>
        <w:t>.</w:t>
      </w:r>
    </w:p>
    <w:p w14:paraId="724C3D91" w14:textId="1F5D507E" w:rsidR="004017E6" w:rsidRPr="003E165B" w:rsidRDefault="004017E6" w:rsidP="006F075E">
      <w:pPr>
        <w:pStyle w:val="Heading3"/>
      </w:pPr>
      <w:r w:rsidRPr="003E165B">
        <w:t>2.1.2</w:t>
      </w:r>
      <w:r w:rsidRPr="003E165B">
        <w:tab/>
        <w:t>Possible source RSs for the unified TCI</w:t>
      </w:r>
    </w:p>
    <w:p w14:paraId="772D5E33" w14:textId="1A17553A" w:rsidR="00B80D1B" w:rsidRDefault="00B80D1B" w:rsidP="00B80D1B">
      <w:pPr>
        <w:rPr>
          <w:highlight w:val="yellow"/>
          <w:lang w:val="en-GB" w:eastAsia="ja-JP"/>
        </w:rPr>
      </w:pPr>
      <w:r>
        <w:rPr>
          <w:lang w:val="en-GB" w:eastAsia="ja-JP"/>
        </w:rPr>
        <w:t>In RAN1#</w:t>
      </w:r>
      <w:r w:rsidR="00345B9D">
        <w:rPr>
          <w:lang w:val="en-GB" w:eastAsia="ja-JP"/>
        </w:rPr>
        <w:t>104-e</w:t>
      </w:r>
      <w:r>
        <w:rPr>
          <w:lang w:val="en-GB" w:eastAsia="ja-JP"/>
        </w:rPr>
        <w:t>, the following agreement</w:t>
      </w:r>
      <w:r w:rsidR="00EF606F">
        <w:rPr>
          <w:lang w:val="en-GB" w:eastAsia="ja-JP"/>
        </w:rPr>
        <w:t>s</w:t>
      </w:r>
      <w:r>
        <w:rPr>
          <w:lang w:val="en-GB" w:eastAsia="ja-JP"/>
        </w:rPr>
        <w:t xml:space="preserve"> w</w:t>
      </w:r>
      <w:r w:rsidR="00EF606F">
        <w:rPr>
          <w:lang w:val="en-GB" w:eastAsia="ja-JP"/>
        </w:rPr>
        <w:t>ere</w:t>
      </w:r>
      <w:r>
        <w:rPr>
          <w:lang w:val="en-GB" w:eastAsia="ja-JP"/>
        </w:rPr>
        <w:t xml:space="preserve"> made:</w:t>
      </w:r>
    </w:p>
    <w:p w14:paraId="5B3752DB" w14:textId="77777777" w:rsidR="00B80D1B" w:rsidRDefault="00B80D1B" w:rsidP="000E0F2D">
      <w:pPr>
        <w:pStyle w:val="BodyText"/>
      </w:pPr>
      <w:r>
        <w:rPr>
          <w:noProof/>
        </w:rPr>
        <mc:AlternateContent>
          <mc:Choice Requires="wps">
            <w:drawing>
              <wp:inline distT="0" distB="0" distL="0" distR="0" wp14:anchorId="747293BE" wp14:editId="6A9AC759">
                <wp:extent cx="6146359" cy="771276"/>
                <wp:effectExtent l="0" t="0" r="26035" b="24765"/>
                <wp:docPr id="27" name="Text Box 27"/>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3D83A220" w14:textId="77777777" w:rsidR="00E376B5" w:rsidRPr="006C5327" w:rsidRDefault="00E376B5" w:rsidP="00EF606F">
                            <w:pPr>
                              <w:snapToGrid w:val="0"/>
                              <w:spacing w:after="0"/>
                              <w:jc w:val="both"/>
                              <w:rPr>
                                <w:rFonts w:ascii="Times New Roman" w:eastAsia="Batang" w:hAnsi="Times New Roman" w:cs="Times New Roman"/>
                                <w:szCs w:val="20"/>
                                <w:lang w:eastAsia="ko-KR"/>
                              </w:rPr>
                            </w:pPr>
                            <w:r w:rsidRPr="006C5327">
                              <w:rPr>
                                <w:rFonts w:ascii="Times" w:eastAsia="Batang" w:hAnsi="Times" w:cs="Times New Roman"/>
                                <w:b/>
                                <w:bCs/>
                                <w:szCs w:val="20"/>
                                <w:highlight w:val="green"/>
                                <w:lang w:val="en-GB"/>
                              </w:rPr>
                              <w:t>Agreement</w:t>
                            </w:r>
                          </w:p>
                          <w:p w14:paraId="7DEF8C80" w14:textId="77777777" w:rsidR="00E376B5" w:rsidRPr="006C5327" w:rsidRDefault="00E376B5" w:rsidP="00EF606F">
                            <w:pPr>
                              <w:snapToGrid w:val="0"/>
                              <w:spacing w:after="0"/>
                              <w:jc w:val="both"/>
                              <w:rPr>
                                <w:rFonts w:ascii="Times" w:eastAsia="Batang" w:hAnsi="Times" w:cs="Times New Roman"/>
                                <w:szCs w:val="20"/>
                                <w:lang w:val="en-GB"/>
                              </w:rPr>
                            </w:pPr>
                            <w:r w:rsidRPr="006C5327">
                              <w:rPr>
                                <w:rFonts w:ascii="Times" w:eastAsia="Batang" w:hAnsi="Times" w:cs="Times New Roman"/>
                                <w:szCs w:val="20"/>
                                <w:lang w:val="en-GB"/>
                              </w:rPr>
                              <w:t>On Rel.17 unified TCI framework:</w:t>
                            </w:r>
                          </w:p>
                          <w:p w14:paraId="69EDF366" w14:textId="77777777" w:rsidR="00E376B5" w:rsidRPr="006C5327" w:rsidRDefault="00E376B5" w:rsidP="00C4412A">
                            <w:pPr>
                              <w:numPr>
                                <w:ilvl w:val="0"/>
                                <w:numId w:val="19"/>
                              </w:numPr>
                              <w:autoSpaceDN w:val="0"/>
                              <w:snapToGrid w:val="0"/>
                              <w:spacing w:after="0" w:line="240" w:lineRule="auto"/>
                              <w:jc w:val="both"/>
                              <w:rPr>
                                <w:rFonts w:ascii="Times" w:eastAsia="Batang" w:hAnsi="Times" w:cs="Times New Roman"/>
                                <w:szCs w:val="20"/>
                                <w:lang w:val="en-GB" w:eastAsia="x-none"/>
                              </w:rPr>
                            </w:pPr>
                            <w:r w:rsidRPr="006C5327">
                              <w:rPr>
                                <w:rFonts w:ascii="Times" w:eastAsia="Batang" w:hAnsi="Times" w:cs="Times New Roman"/>
                                <w:szCs w:val="24"/>
                                <w:lang w:val="en-GB" w:eastAsia="x-none"/>
                              </w:rPr>
                              <w:t>For joint and separate DL/UL TCI, DL large scale QCL properties are inferred from one (qcl-Type1) or two RSs (qcl-Type1 and qcl-Type2) analogous to Rel.15/16</w:t>
                            </w:r>
                          </w:p>
                          <w:p w14:paraId="7404636A" w14:textId="3E6B06B7" w:rsidR="00E376B5" w:rsidRPr="00EF606F" w:rsidRDefault="00E376B5" w:rsidP="00C4412A">
                            <w:pPr>
                              <w:numPr>
                                <w:ilvl w:val="0"/>
                                <w:numId w:val="19"/>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 xml:space="preserve">For joint DL/UL TCI, UL spatial filter is derived from the RS of DL QCL Type D </w:t>
                            </w:r>
                          </w:p>
                          <w:p w14:paraId="6E847AD4" w14:textId="77777777" w:rsidR="00E376B5" w:rsidRDefault="00E376B5" w:rsidP="00B80D1B">
                            <w:pPr>
                              <w:snapToGrid w:val="0"/>
                              <w:spacing w:after="0"/>
                              <w:jc w:val="both"/>
                              <w:rPr>
                                <w:rFonts w:ascii="Times New Roman" w:eastAsia="Batang" w:hAnsi="Times New Roman" w:cs="Times New Roman"/>
                                <w:b/>
                                <w:szCs w:val="20"/>
                                <w:highlight w:val="green"/>
                                <w:lang w:val="en-GB"/>
                              </w:rPr>
                            </w:pPr>
                          </w:p>
                          <w:p w14:paraId="4E6BBE76" w14:textId="6766D19E" w:rsidR="00E376B5" w:rsidRPr="006C5327" w:rsidRDefault="00E376B5" w:rsidP="00B80D1B">
                            <w:pPr>
                              <w:snapToGrid w:val="0"/>
                              <w:spacing w:after="0"/>
                              <w:jc w:val="both"/>
                              <w:rPr>
                                <w:rFonts w:ascii="Times New Roman" w:eastAsia="Batang" w:hAnsi="Times New Roman" w:cs="Times New Roman"/>
                                <w:szCs w:val="20"/>
                                <w:lang w:val="en-GB"/>
                              </w:rPr>
                            </w:pPr>
                            <w:r w:rsidRPr="006C5327">
                              <w:rPr>
                                <w:rFonts w:ascii="Times New Roman" w:eastAsia="Batang" w:hAnsi="Times New Roman" w:cs="Times New Roman"/>
                                <w:b/>
                                <w:szCs w:val="20"/>
                                <w:highlight w:val="green"/>
                                <w:lang w:val="en-GB"/>
                              </w:rPr>
                              <w:t>Agreement</w:t>
                            </w:r>
                          </w:p>
                          <w:p w14:paraId="1676960E" w14:textId="77777777" w:rsidR="00E376B5" w:rsidRPr="006C5327" w:rsidRDefault="00E376B5" w:rsidP="00B80D1B">
                            <w:pPr>
                              <w:snapToGrid w:val="0"/>
                              <w:spacing w:after="0"/>
                              <w:jc w:val="both"/>
                              <w:rPr>
                                <w:rFonts w:ascii="Times" w:eastAsia="Batang" w:hAnsi="Times" w:cs="Times New Roman"/>
                                <w:szCs w:val="20"/>
                                <w:lang w:val="en-GB"/>
                              </w:rPr>
                            </w:pPr>
                            <w:r w:rsidRPr="006C5327">
                              <w:rPr>
                                <w:rFonts w:ascii="Times New Roman" w:eastAsia="Batang" w:hAnsi="Times New Roman" w:cs="Times New Roman"/>
                                <w:szCs w:val="20"/>
                                <w:lang w:val="en-GB"/>
                              </w:rPr>
                              <w:t>On Rel.17 unified TCI framework, the supported</w:t>
                            </w:r>
                            <w:r w:rsidRPr="006C5327">
                              <w:rPr>
                                <w:rFonts w:ascii="Times New Roman" w:eastAsia="DengXian" w:hAnsi="Times New Roman" w:cs="Times New Roman"/>
                                <w:szCs w:val="20"/>
                                <w:lang w:val="en-GB" w:eastAsia="zh-CN"/>
                              </w:rPr>
                              <w:t xml:space="preserve"> source/target QCL relations in the current TS38.214 V16.4.0 is supported for QCL Type D. </w:t>
                            </w:r>
                            <w:r w:rsidRPr="006C5327">
                              <w:rPr>
                                <w:rFonts w:ascii="Times New Roman" w:eastAsia="Batang" w:hAnsi="Times New Roman" w:cs="Times New Roman"/>
                                <w:szCs w:val="20"/>
                                <w:lang w:val="en-GB"/>
                              </w:rPr>
                              <w:t xml:space="preserve"> </w:t>
                            </w:r>
                          </w:p>
                          <w:p w14:paraId="5E674637" w14:textId="77777777" w:rsidR="00E376B5" w:rsidRPr="006C5327" w:rsidRDefault="00E376B5" w:rsidP="00C4412A">
                            <w:pPr>
                              <w:numPr>
                                <w:ilvl w:val="0"/>
                                <w:numId w:val="18"/>
                              </w:numPr>
                              <w:suppressAutoHyphens/>
                              <w:autoSpaceDN w:val="0"/>
                              <w:snapToGrid w:val="0"/>
                              <w:spacing w:after="0" w:line="240" w:lineRule="auto"/>
                              <w:jc w:val="both"/>
                              <w:textAlignment w:val="baseline"/>
                              <w:rPr>
                                <w:rFonts w:ascii="Times" w:eastAsia="Batang" w:hAnsi="Times" w:cs="Times New Roman"/>
                                <w:szCs w:val="20"/>
                                <w:lang w:val="en-GB" w:eastAsia="x-none"/>
                              </w:rPr>
                            </w:pPr>
                            <w:r w:rsidRPr="006C5327">
                              <w:rPr>
                                <w:rFonts w:ascii="Times New Roman" w:eastAsia="Batang" w:hAnsi="Times New Roman" w:cs="Times New Roman"/>
                                <w:szCs w:val="20"/>
                                <w:lang w:val="en-GB" w:eastAsia="x-none"/>
                              </w:rPr>
                              <w:t>Note: This implies that the following source RS types for DL QCL (Type D, for DL RX spatial filter reference) information for DL UE-dedicated reception on PDSCH and all/subset of CORESETs are supported:</w:t>
                            </w:r>
                          </w:p>
                          <w:p w14:paraId="3AFD8F7C" w14:textId="77777777" w:rsidR="00E376B5" w:rsidRPr="006C5327" w:rsidRDefault="00E376B5" w:rsidP="00C4412A">
                            <w:pPr>
                              <w:numPr>
                                <w:ilvl w:val="1"/>
                                <w:numId w:val="18"/>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6C5327">
                              <w:rPr>
                                <w:rFonts w:ascii="Times New Roman" w:eastAsia="Batang" w:hAnsi="Times New Roman" w:cs="Times New Roman"/>
                                <w:szCs w:val="20"/>
                                <w:lang w:val="en-GB" w:eastAsia="x-none"/>
                              </w:rPr>
                              <w:t xml:space="preserve">CSI-RS for beam management </w:t>
                            </w:r>
                          </w:p>
                          <w:p w14:paraId="2C766A48" w14:textId="77777777" w:rsidR="00E376B5" w:rsidRPr="006C5327" w:rsidRDefault="00E376B5" w:rsidP="00C4412A">
                            <w:pPr>
                              <w:numPr>
                                <w:ilvl w:val="1"/>
                                <w:numId w:val="18"/>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6C5327">
                              <w:rPr>
                                <w:rFonts w:ascii="Times New Roman" w:eastAsia="Batang" w:hAnsi="Times New Roman" w:cs="Times New Roman"/>
                                <w:szCs w:val="20"/>
                                <w:lang w:val="en-GB" w:eastAsia="x-none"/>
                              </w:rPr>
                              <w:t>CSI-RS for tracking</w:t>
                            </w:r>
                          </w:p>
                          <w:p w14:paraId="55D804A7" w14:textId="77777777" w:rsidR="00E376B5" w:rsidRPr="00B80D1B" w:rsidRDefault="00E376B5" w:rsidP="00C4412A">
                            <w:pPr>
                              <w:numPr>
                                <w:ilvl w:val="0"/>
                                <w:numId w:val="18"/>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B80D1B">
                              <w:rPr>
                                <w:rFonts w:ascii="Times New Roman" w:eastAsia="Batang" w:hAnsi="Times New Roman" w:cs="Times New Roman"/>
                                <w:szCs w:val="20"/>
                                <w:lang w:val="en-GB" w:eastAsia="x-none"/>
                              </w:rPr>
                              <w:t xml:space="preserve">FFS (to be decided by RAN1#104bis-e): If SSB, CSI-RS for CSI, and/or SRS for BM are also supported as source RS types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47293BE" id="Text Box 27" o:spid="_x0000_s1030"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LP6nPVQAgAAqgQAAA4AAAAAAAAAAAAAAAAALgIAAGRycy9lMm9Eb2MueG1sUEsBAi0AFAAGAAgA&#10;AAAhACIEwubcAAAABQEAAA8AAAAAAAAAAAAAAAAAqgQAAGRycy9kb3ducmV2LnhtbFBLBQYAAAAA&#10;BAAEAPMAAACzBQAAAAA=&#10;" fillcolor="white [3201]" strokeweight=".5pt">
                <v:textbox style="mso-fit-shape-to-text:t">
                  <w:txbxContent>
                    <w:p w14:paraId="3D83A220" w14:textId="77777777" w:rsidR="00E376B5" w:rsidRPr="006C5327" w:rsidRDefault="00E376B5" w:rsidP="00EF606F">
                      <w:pPr>
                        <w:snapToGrid w:val="0"/>
                        <w:spacing w:after="0"/>
                        <w:jc w:val="both"/>
                        <w:rPr>
                          <w:rFonts w:ascii="Times New Roman" w:eastAsia="Batang" w:hAnsi="Times New Roman" w:cs="Times New Roman"/>
                          <w:szCs w:val="20"/>
                          <w:lang w:eastAsia="ko-KR"/>
                        </w:rPr>
                      </w:pPr>
                      <w:r w:rsidRPr="006C5327">
                        <w:rPr>
                          <w:rFonts w:ascii="Times" w:eastAsia="Batang" w:hAnsi="Times" w:cs="Times New Roman"/>
                          <w:b/>
                          <w:bCs/>
                          <w:szCs w:val="20"/>
                          <w:highlight w:val="green"/>
                          <w:lang w:val="en-GB"/>
                        </w:rPr>
                        <w:t>Agreement</w:t>
                      </w:r>
                    </w:p>
                    <w:p w14:paraId="7DEF8C80" w14:textId="77777777" w:rsidR="00E376B5" w:rsidRPr="006C5327" w:rsidRDefault="00E376B5" w:rsidP="00EF606F">
                      <w:pPr>
                        <w:snapToGrid w:val="0"/>
                        <w:spacing w:after="0"/>
                        <w:jc w:val="both"/>
                        <w:rPr>
                          <w:rFonts w:ascii="Times" w:eastAsia="Batang" w:hAnsi="Times" w:cs="Times New Roman"/>
                          <w:szCs w:val="20"/>
                          <w:lang w:val="en-GB"/>
                        </w:rPr>
                      </w:pPr>
                      <w:r w:rsidRPr="006C5327">
                        <w:rPr>
                          <w:rFonts w:ascii="Times" w:eastAsia="Batang" w:hAnsi="Times" w:cs="Times New Roman"/>
                          <w:szCs w:val="20"/>
                          <w:lang w:val="en-GB"/>
                        </w:rPr>
                        <w:t>On Rel.17 unified TCI framework:</w:t>
                      </w:r>
                    </w:p>
                    <w:p w14:paraId="69EDF366" w14:textId="77777777" w:rsidR="00E376B5" w:rsidRPr="006C5327" w:rsidRDefault="00E376B5" w:rsidP="00C4412A">
                      <w:pPr>
                        <w:numPr>
                          <w:ilvl w:val="0"/>
                          <w:numId w:val="19"/>
                        </w:numPr>
                        <w:autoSpaceDN w:val="0"/>
                        <w:snapToGrid w:val="0"/>
                        <w:spacing w:after="0" w:line="240" w:lineRule="auto"/>
                        <w:jc w:val="both"/>
                        <w:rPr>
                          <w:rFonts w:ascii="Times" w:eastAsia="Batang" w:hAnsi="Times" w:cs="Times New Roman"/>
                          <w:szCs w:val="20"/>
                          <w:lang w:val="en-GB" w:eastAsia="x-none"/>
                        </w:rPr>
                      </w:pPr>
                      <w:r w:rsidRPr="006C5327">
                        <w:rPr>
                          <w:rFonts w:ascii="Times" w:eastAsia="Batang" w:hAnsi="Times" w:cs="Times New Roman"/>
                          <w:szCs w:val="24"/>
                          <w:lang w:val="en-GB" w:eastAsia="x-none"/>
                        </w:rPr>
                        <w:t>For joint and separate DL/UL TCI, DL large scale QCL properties are inferred from one (qcl-Type1) or two RSs (qcl-Type1 and qcl-Type2) analogous to Rel.15/16</w:t>
                      </w:r>
                    </w:p>
                    <w:p w14:paraId="7404636A" w14:textId="3E6B06B7" w:rsidR="00E376B5" w:rsidRPr="00EF606F" w:rsidRDefault="00E376B5" w:rsidP="00C4412A">
                      <w:pPr>
                        <w:numPr>
                          <w:ilvl w:val="0"/>
                          <w:numId w:val="19"/>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 xml:space="preserve">For joint DL/UL TCI, UL spatial filter is derived from the RS of DL QCL Type D </w:t>
                      </w:r>
                    </w:p>
                    <w:p w14:paraId="6E847AD4" w14:textId="77777777" w:rsidR="00E376B5" w:rsidRDefault="00E376B5" w:rsidP="00B80D1B">
                      <w:pPr>
                        <w:snapToGrid w:val="0"/>
                        <w:spacing w:after="0"/>
                        <w:jc w:val="both"/>
                        <w:rPr>
                          <w:rFonts w:ascii="Times New Roman" w:eastAsia="Batang" w:hAnsi="Times New Roman" w:cs="Times New Roman"/>
                          <w:b/>
                          <w:szCs w:val="20"/>
                          <w:highlight w:val="green"/>
                          <w:lang w:val="en-GB"/>
                        </w:rPr>
                      </w:pPr>
                    </w:p>
                    <w:p w14:paraId="4E6BBE76" w14:textId="6766D19E" w:rsidR="00E376B5" w:rsidRPr="006C5327" w:rsidRDefault="00E376B5" w:rsidP="00B80D1B">
                      <w:pPr>
                        <w:snapToGrid w:val="0"/>
                        <w:spacing w:after="0"/>
                        <w:jc w:val="both"/>
                        <w:rPr>
                          <w:rFonts w:ascii="Times New Roman" w:eastAsia="Batang" w:hAnsi="Times New Roman" w:cs="Times New Roman"/>
                          <w:szCs w:val="20"/>
                          <w:lang w:val="en-GB"/>
                        </w:rPr>
                      </w:pPr>
                      <w:r w:rsidRPr="006C5327">
                        <w:rPr>
                          <w:rFonts w:ascii="Times New Roman" w:eastAsia="Batang" w:hAnsi="Times New Roman" w:cs="Times New Roman"/>
                          <w:b/>
                          <w:szCs w:val="20"/>
                          <w:highlight w:val="green"/>
                          <w:lang w:val="en-GB"/>
                        </w:rPr>
                        <w:t>Agreement</w:t>
                      </w:r>
                    </w:p>
                    <w:p w14:paraId="1676960E" w14:textId="77777777" w:rsidR="00E376B5" w:rsidRPr="006C5327" w:rsidRDefault="00E376B5" w:rsidP="00B80D1B">
                      <w:pPr>
                        <w:snapToGrid w:val="0"/>
                        <w:spacing w:after="0"/>
                        <w:jc w:val="both"/>
                        <w:rPr>
                          <w:rFonts w:ascii="Times" w:eastAsia="Batang" w:hAnsi="Times" w:cs="Times New Roman"/>
                          <w:szCs w:val="20"/>
                          <w:lang w:val="en-GB"/>
                        </w:rPr>
                      </w:pPr>
                      <w:r w:rsidRPr="006C5327">
                        <w:rPr>
                          <w:rFonts w:ascii="Times New Roman" w:eastAsia="Batang" w:hAnsi="Times New Roman" w:cs="Times New Roman"/>
                          <w:szCs w:val="20"/>
                          <w:lang w:val="en-GB"/>
                        </w:rPr>
                        <w:t>On Rel.17 unified TCI framework, the supported</w:t>
                      </w:r>
                      <w:r w:rsidRPr="006C5327">
                        <w:rPr>
                          <w:rFonts w:ascii="Times New Roman" w:eastAsia="DengXian" w:hAnsi="Times New Roman" w:cs="Times New Roman"/>
                          <w:szCs w:val="20"/>
                          <w:lang w:val="en-GB" w:eastAsia="zh-CN"/>
                        </w:rPr>
                        <w:t xml:space="preserve"> source/target QCL relations in the current TS38.214 V16.4.0 is supported for QCL Type D. </w:t>
                      </w:r>
                      <w:r w:rsidRPr="006C5327">
                        <w:rPr>
                          <w:rFonts w:ascii="Times New Roman" w:eastAsia="Batang" w:hAnsi="Times New Roman" w:cs="Times New Roman"/>
                          <w:szCs w:val="20"/>
                          <w:lang w:val="en-GB"/>
                        </w:rPr>
                        <w:t xml:space="preserve"> </w:t>
                      </w:r>
                    </w:p>
                    <w:p w14:paraId="5E674637" w14:textId="77777777" w:rsidR="00E376B5" w:rsidRPr="006C5327" w:rsidRDefault="00E376B5" w:rsidP="00C4412A">
                      <w:pPr>
                        <w:numPr>
                          <w:ilvl w:val="0"/>
                          <w:numId w:val="18"/>
                        </w:numPr>
                        <w:suppressAutoHyphens/>
                        <w:autoSpaceDN w:val="0"/>
                        <w:snapToGrid w:val="0"/>
                        <w:spacing w:after="0" w:line="240" w:lineRule="auto"/>
                        <w:jc w:val="both"/>
                        <w:textAlignment w:val="baseline"/>
                        <w:rPr>
                          <w:rFonts w:ascii="Times" w:eastAsia="Batang" w:hAnsi="Times" w:cs="Times New Roman"/>
                          <w:szCs w:val="20"/>
                          <w:lang w:val="en-GB" w:eastAsia="x-none"/>
                        </w:rPr>
                      </w:pPr>
                      <w:r w:rsidRPr="006C5327">
                        <w:rPr>
                          <w:rFonts w:ascii="Times New Roman" w:eastAsia="Batang" w:hAnsi="Times New Roman" w:cs="Times New Roman"/>
                          <w:szCs w:val="20"/>
                          <w:lang w:val="en-GB" w:eastAsia="x-none"/>
                        </w:rPr>
                        <w:t>Note: This implies that the following source RS types for DL QCL (Type D, for DL RX spatial filter reference) information for DL UE-dedicated reception on PDSCH and all/subset of CORESETs are supported:</w:t>
                      </w:r>
                    </w:p>
                    <w:p w14:paraId="3AFD8F7C" w14:textId="77777777" w:rsidR="00E376B5" w:rsidRPr="006C5327" w:rsidRDefault="00E376B5" w:rsidP="00C4412A">
                      <w:pPr>
                        <w:numPr>
                          <w:ilvl w:val="1"/>
                          <w:numId w:val="18"/>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6C5327">
                        <w:rPr>
                          <w:rFonts w:ascii="Times New Roman" w:eastAsia="Batang" w:hAnsi="Times New Roman" w:cs="Times New Roman"/>
                          <w:szCs w:val="20"/>
                          <w:lang w:val="en-GB" w:eastAsia="x-none"/>
                        </w:rPr>
                        <w:t xml:space="preserve">CSI-RS for beam management </w:t>
                      </w:r>
                    </w:p>
                    <w:p w14:paraId="2C766A48" w14:textId="77777777" w:rsidR="00E376B5" w:rsidRPr="006C5327" w:rsidRDefault="00E376B5" w:rsidP="00C4412A">
                      <w:pPr>
                        <w:numPr>
                          <w:ilvl w:val="1"/>
                          <w:numId w:val="18"/>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6C5327">
                        <w:rPr>
                          <w:rFonts w:ascii="Times New Roman" w:eastAsia="Batang" w:hAnsi="Times New Roman" w:cs="Times New Roman"/>
                          <w:szCs w:val="20"/>
                          <w:lang w:val="en-GB" w:eastAsia="x-none"/>
                        </w:rPr>
                        <w:t>CSI-RS for tracking</w:t>
                      </w:r>
                    </w:p>
                    <w:p w14:paraId="55D804A7" w14:textId="77777777" w:rsidR="00E376B5" w:rsidRPr="00B80D1B" w:rsidRDefault="00E376B5" w:rsidP="00C4412A">
                      <w:pPr>
                        <w:numPr>
                          <w:ilvl w:val="0"/>
                          <w:numId w:val="18"/>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B80D1B">
                        <w:rPr>
                          <w:rFonts w:ascii="Times New Roman" w:eastAsia="Batang" w:hAnsi="Times New Roman" w:cs="Times New Roman"/>
                          <w:szCs w:val="20"/>
                          <w:lang w:val="en-GB" w:eastAsia="x-none"/>
                        </w:rPr>
                        <w:t xml:space="preserve">FFS (to be decided by RAN1#104bis-e): If SSB, CSI-RS for CSI, and/or SRS for BM are also supported as source RS types </w:t>
                      </w:r>
                    </w:p>
                  </w:txbxContent>
                </v:textbox>
                <w10:anchorlock/>
              </v:shape>
            </w:pict>
          </mc:Fallback>
        </mc:AlternateContent>
      </w:r>
    </w:p>
    <w:p w14:paraId="1920BFE7" w14:textId="195E124C" w:rsidR="00B80D1B" w:rsidRDefault="00EF606F" w:rsidP="004017E6">
      <w:pPr>
        <w:rPr>
          <w:lang w:val="en-GB" w:eastAsia="ja-JP"/>
        </w:rPr>
      </w:pPr>
      <w:r>
        <w:rPr>
          <w:lang w:val="en-GB" w:eastAsia="ja-JP"/>
        </w:rPr>
        <w:t>These two agreements are important cornerstones in defining the use of the unified TCI. We also agree to reuse the QCL relations defined in R</w:t>
      </w:r>
      <w:r w:rsidR="003C4E59">
        <w:rPr>
          <w:lang w:val="en-GB" w:eastAsia="ja-JP"/>
        </w:rPr>
        <w:t>el-</w:t>
      </w:r>
      <w:r>
        <w:rPr>
          <w:lang w:val="en-GB" w:eastAsia="ja-JP"/>
        </w:rPr>
        <w:t>15/16 for TypeD. Interestingly enough, there is no corresponding agreement for other QCL types. Therefore, we propose:</w:t>
      </w:r>
    </w:p>
    <w:p w14:paraId="3FC6BBE3" w14:textId="1DC7C2EF" w:rsidR="00EF606F" w:rsidRPr="00EF606F" w:rsidRDefault="00113EC9" w:rsidP="000E0F2D">
      <w:pPr>
        <w:pStyle w:val="Proposal"/>
        <w:rPr>
          <w:lang w:val="en-GB"/>
        </w:rPr>
      </w:pPr>
      <w:bookmarkStart w:id="11" w:name="_Toc79658928"/>
      <w:r>
        <w:rPr>
          <w:lang w:val="en-GB"/>
        </w:rPr>
        <w:t>For the unified TCI framework, t</w:t>
      </w:r>
      <w:r w:rsidR="00EF606F" w:rsidRPr="00EF606F">
        <w:rPr>
          <w:lang w:val="en-GB"/>
        </w:rPr>
        <w:t xml:space="preserve">he supported source/target QCL relations in the current TS38.214 V16.4.0 </w:t>
      </w:r>
      <w:r>
        <w:rPr>
          <w:lang w:val="en-GB"/>
        </w:rPr>
        <w:t>are</w:t>
      </w:r>
      <w:r w:rsidR="00EF606F" w:rsidRPr="00EF606F">
        <w:rPr>
          <w:lang w:val="en-GB"/>
        </w:rPr>
        <w:t xml:space="preserve"> supported for </w:t>
      </w:r>
      <w:r>
        <w:rPr>
          <w:lang w:val="en-GB"/>
        </w:rPr>
        <w:t>all QCL types.</w:t>
      </w:r>
      <w:bookmarkEnd w:id="11"/>
    </w:p>
    <w:p w14:paraId="70FEF1B1" w14:textId="1A5CEB30" w:rsidR="00EF606F" w:rsidRDefault="00113EC9" w:rsidP="004017E6">
      <w:pPr>
        <w:rPr>
          <w:lang w:val="en-GB" w:eastAsia="ja-JP"/>
        </w:rPr>
      </w:pPr>
      <w:r w:rsidRPr="00113EC9">
        <w:rPr>
          <w:lang w:val="en-GB" w:eastAsia="ja-JP"/>
        </w:rPr>
        <w:t xml:space="preserve">During the RAN1 discussions, there seems to </w:t>
      </w:r>
      <w:r>
        <w:rPr>
          <w:lang w:val="en-GB" w:eastAsia="ja-JP"/>
        </w:rPr>
        <w:t xml:space="preserve">be </w:t>
      </w:r>
      <w:r w:rsidRPr="00113EC9">
        <w:rPr>
          <w:lang w:val="en-GB" w:eastAsia="ja-JP"/>
        </w:rPr>
        <w:t xml:space="preserve">common understanding that </w:t>
      </w:r>
      <w:r>
        <w:rPr>
          <w:lang w:val="en-GB" w:eastAsia="ja-JP"/>
        </w:rPr>
        <w:t>at least some of the QCL relations currently specified in 38.214 apply, e.g., that a QCL TypeA source RS is needed to demodulate PDCCH/PDSCH DMRS.</w:t>
      </w:r>
      <w:r w:rsidRPr="00113EC9">
        <w:rPr>
          <w:lang w:val="en-GB" w:eastAsia="ja-JP"/>
        </w:rPr>
        <w:t xml:space="preserve"> </w:t>
      </w:r>
    </w:p>
    <w:p w14:paraId="3888987F" w14:textId="681E30F5" w:rsidR="001617F4" w:rsidRDefault="006624B7" w:rsidP="004017E6">
      <w:pPr>
        <w:rPr>
          <w:lang w:val="en-GB" w:eastAsia="ja-JP"/>
        </w:rPr>
      </w:pPr>
      <w:r>
        <w:rPr>
          <w:lang w:val="en-GB" w:eastAsia="ja-JP"/>
        </w:rPr>
        <w:t xml:space="preserve">In the last </w:t>
      </w:r>
      <w:r w:rsidR="0099609F">
        <w:rPr>
          <w:lang w:val="en-GB" w:eastAsia="ja-JP"/>
        </w:rPr>
        <w:t>agreement</w:t>
      </w:r>
      <w:r>
        <w:rPr>
          <w:lang w:val="en-GB" w:eastAsia="ja-JP"/>
        </w:rPr>
        <w:t xml:space="preserve">, there is an FFS on additional source RS types for QCL TypeD. We note that the note in the second agreement is incomplete: CSI-RS for CSI is currently supported as source RS for QCL-TypeD, so the remaining discussion points are </w:t>
      </w:r>
      <w:r w:rsidR="001617F4">
        <w:rPr>
          <w:lang w:val="en-GB" w:eastAsia="ja-JP"/>
        </w:rPr>
        <w:t>if SSB and/or SRS for beam management are supported as source RS types.</w:t>
      </w:r>
    </w:p>
    <w:p w14:paraId="531BC955" w14:textId="5ADD5CA9" w:rsidR="00113EC9" w:rsidRDefault="001617F4" w:rsidP="004017E6">
      <w:pPr>
        <w:rPr>
          <w:lang w:val="en-GB" w:eastAsia="ja-JP"/>
        </w:rPr>
      </w:pPr>
      <w:r>
        <w:rPr>
          <w:lang w:val="en-GB" w:eastAsia="ja-JP"/>
        </w:rPr>
        <w:t>The first agreement states that there will be two RSs in a unified TCI state, where each RS provides the UE with different QCL properties. The foreseen use case is that one of the RSs will provide QCL TypeA, and the other will provide QCL TypeD. So far, the only RSs that can be used to provide QCL TypeA are CSI-RS for tracking and CSI-RS for CSI. By allowing SSB or SRS as a valid source RS for QCL TypeD, the following TCI state contents would be valid:</w:t>
      </w:r>
    </w:p>
    <w:p w14:paraId="452AA028" w14:textId="48D9B135" w:rsidR="001617F4" w:rsidRPr="003C4E59" w:rsidRDefault="004C5907" w:rsidP="00C4412A">
      <w:pPr>
        <w:pStyle w:val="ListParagraph"/>
        <w:numPr>
          <w:ilvl w:val="0"/>
          <w:numId w:val="29"/>
        </w:numPr>
        <w:rPr>
          <w:rFonts w:ascii="Arial" w:hAnsi="Arial" w:cs="Arial"/>
          <w:sz w:val="20"/>
          <w:szCs w:val="20"/>
          <w:lang w:val="en-GB" w:eastAsia="ja-JP"/>
        </w:rPr>
      </w:pPr>
      <w:r w:rsidRPr="003C4E59">
        <w:rPr>
          <w:rFonts w:ascii="Arial" w:hAnsi="Arial" w:cs="Arial"/>
          <w:sz w:val="20"/>
          <w:szCs w:val="20"/>
          <w:lang w:val="en-GB" w:eastAsia="ja-JP"/>
        </w:rPr>
        <w:t>Proposed</w:t>
      </w:r>
      <w:r w:rsidR="005470D9" w:rsidRPr="003C4E59">
        <w:rPr>
          <w:rFonts w:ascii="Arial" w:hAnsi="Arial" w:cs="Arial"/>
          <w:sz w:val="20"/>
          <w:szCs w:val="20"/>
          <w:lang w:val="en-GB" w:eastAsia="ja-JP"/>
        </w:rPr>
        <w:t xml:space="preserve">: </w:t>
      </w:r>
      <w:r w:rsidR="001617F4" w:rsidRPr="003C4E59">
        <w:rPr>
          <w:rFonts w:ascii="Arial" w:hAnsi="Arial" w:cs="Arial"/>
          <w:sz w:val="20"/>
          <w:szCs w:val="20"/>
          <w:lang w:val="en-GB" w:eastAsia="ja-JP"/>
        </w:rPr>
        <w:t>(</w:t>
      </w:r>
      <w:r w:rsidR="00221BEC" w:rsidRPr="003C4E59">
        <w:rPr>
          <w:rFonts w:ascii="Arial" w:hAnsi="Arial" w:cs="Arial"/>
          <w:sz w:val="20"/>
          <w:szCs w:val="20"/>
          <w:lang w:val="en-GB" w:eastAsia="ja-JP"/>
        </w:rPr>
        <w:t>QCL Type</w:t>
      </w:r>
      <w:r w:rsidR="001617F4" w:rsidRPr="003C4E59">
        <w:rPr>
          <w:rFonts w:ascii="Arial" w:hAnsi="Arial" w:cs="Arial"/>
          <w:sz w:val="20"/>
          <w:szCs w:val="20"/>
          <w:lang w:val="en-GB" w:eastAsia="ja-JP"/>
        </w:rPr>
        <w:t>A: CSI-RS for tracking</w:t>
      </w:r>
      <w:r w:rsidR="005470D9" w:rsidRPr="003C4E59">
        <w:rPr>
          <w:rFonts w:ascii="Arial" w:hAnsi="Arial" w:cs="Arial"/>
          <w:sz w:val="20"/>
          <w:szCs w:val="20"/>
          <w:lang w:val="en-GB" w:eastAsia="ja-JP"/>
        </w:rPr>
        <w:t>/CSI</w:t>
      </w:r>
      <w:r w:rsidR="001617F4" w:rsidRPr="003C4E59">
        <w:rPr>
          <w:rFonts w:ascii="Arial" w:hAnsi="Arial" w:cs="Arial"/>
          <w:sz w:val="20"/>
          <w:szCs w:val="20"/>
          <w:lang w:val="en-GB" w:eastAsia="ja-JP"/>
        </w:rPr>
        <w:t xml:space="preserve">, </w:t>
      </w:r>
      <w:r w:rsidR="00221BEC" w:rsidRPr="003C4E59">
        <w:rPr>
          <w:rFonts w:ascii="Arial" w:hAnsi="Arial" w:cs="Arial"/>
          <w:sz w:val="20"/>
          <w:szCs w:val="20"/>
          <w:lang w:val="en-GB" w:eastAsia="ja-JP"/>
        </w:rPr>
        <w:t>QCL Type</w:t>
      </w:r>
      <w:r w:rsidR="001617F4" w:rsidRPr="003C4E59">
        <w:rPr>
          <w:rFonts w:ascii="Arial" w:hAnsi="Arial" w:cs="Arial"/>
          <w:sz w:val="20"/>
          <w:szCs w:val="20"/>
          <w:lang w:val="en-GB" w:eastAsia="ja-JP"/>
        </w:rPr>
        <w:t>D: SSB)</w:t>
      </w:r>
    </w:p>
    <w:p w14:paraId="3B26D2D1" w14:textId="4ABEE5EB" w:rsidR="001617F4" w:rsidRPr="003C4E59" w:rsidRDefault="004C5907" w:rsidP="00C4412A">
      <w:pPr>
        <w:pStyle w:val="ListParagraph"/>
        <w:numPr>
          <w:ilvl w:val="0"/>
          <w:numId w:val="29"/>
        </w:numPr>
        <w:spacing w:after="120"/>
        <w:ind w:left="714" w:hanging="357"/>
        <w:rPr>
          <w:rFonts w:ascii="Arial" w:hAnsi="Arial" w:cs="Arial"/>
          <w:sz w:val="20"/>
          <w:szCs w:val="20"/>
          <w:lang w:val="en-GB" w:eastAsia="ja-JP"/>
        </w:rPr>
      </w:pPr>
      <w:r w:rsidRPr="003C4E59">
        <w:rPr>
          <w:rFonts w:ascii="Arial" w:hAnsi="Arial" w:cs="Arial"/>
          <w:sz w:val="20"/>
          <w:szCs w:val="20"/>
          <w:lang w:val="en-GB" w:eastAsia="ja-JP"/>
        </w:rPr>
        <w:t>Proposed:</w:t>
      </w:r>
      <w:r w:rsidR="005470D9" w:rsidRPr="003C4E59">
        <w:rPr>
          <w:rFonts w:ascii="Arial" w:hAnsi="Arial" w:cs="Arial"/>
          <w:sz w:val="20"/>
          <w:szCs w:val="20"/>
          <w:lang w:val="en-GB" w:eastAsia="ja-JP"/>
        </w:rPr>
        <w:t xml:space="preserve"> </w:t>
      </w:r>
      <w:r w:rsidR="001617F4" w:rsidRPr="003C4E59">
        <w:rPr>
          <w:rFonts w:ascii="Arial" w:hAnsi="Arial" w:cs="Arial"/>
          <w:sz w:val="20"/>
          <w:szCs w:val="20"/>
          <w:lang w:val="en-GB" w:eastAsia="ja-JP"/>
        </w:rPr>
        <w:t>(</w:t>
      </w:r>
      <w:r w:rsidR="00221BEC" w:rsidRPr="003C4E59">
        <w:rPr>
          <w:rFonts w:ascii="Arial" w:hAnsi="Arial" w:cs="Arial"/>
          <w:sz w:val="20"/>
          <w:szCs w:val="20"/>
          <w:lang w:val="en-GB" w:eastAsia="ja-JP"/>
        </w:rPr>
        <w:t>QCL Type</w:t>
      </w:r>
      <w:r w:rsidR="001617F4" w:rsidRPr="003C4E59">
        <w:rPr>
          <w:rFonts w:ascii="Arial" w:hAnsi="Arial" w:cs="Arial"/>
          <w:sz w:val="20"/>
          <w:szCs w:val="20"/>
          <w:lang w:val="en-GB" w:eastAsia="ja-JP"/>
        </w:rPr>
        <w:t>A: CSI-RS for tracking</w:t>
      </w:r>
      <w:r w:rsidR="005470D9" w:rsidRPr="003C4E59">
        <w:rPr>
          <w:rFonts w:ascii="Arial" w:hAnsi="Arial" w:cs="Arial"/>
          <w:sz w:val="20"/>
          <w:szCs w:val="20"/>
          <w:lang w:val="en-GB" w:eastAsia="ja-JP"/>
        </w:rPr>
        <w:t>/CSI</w:t>
      </w:r>
      <w:r w:rsidR="001617F4" w:rsidRPr="003C4E59">
        <w:rPr>
          <w:rFonts w:ascii="Arial" w:hAnsi="Arial" w:cs="Arial"/>
          <w:sz w:val="20"/>
          <w:szCs w:val="20"/>
          <w:lang w:val="en-GB" w:eastAsia="ja-JP"/>
        </w:rPr>
        <w:t xml:space="preserve">, </w:t>
      </w:r>
      <w:r w:rsidR="00221BEC" w:rsidRPr="003C4E59">
        <w:rPr>
          <w:rFonts w:ascii="Arial" w:hAnsi="Arial" w:cs="Arial"/>
          <w:sz w:val="20"/>
          <w:szCs w:val="20"/>
          <w:lang w:val="en-GB" w:eastAsia="ja-JP"/>
        </w:rPr>
        <w:t>QCL Type</w:t>
      </w:r>
      <w:r w:rsidR="005470D9" w:rsidRPr="003C4E59">
        <w:rPr>
          <w:rFonts w:ascii="Arial" w:hAnsi="Arial" w:cs="Arial"/>
          <w:sz w:val="20"/>
          <w:szCs w:val="20"/>
          <w:lang w:val="en-GB" w:eastAsia="ja-JP"/>
        </w:rPr>
        <w:t>D</w:t>
      </w:r>
      <w:r w:rsidR="001617F4" w:rsidRPr="003C4E59">
        <w:rPr>
          <w:rFonts w:ascii="Arial" w:hAnsi="Arial" w:cs="Arial"/>
          <w:sz w:val="20"/>
          <w:szCs w:val="20"/>
          <w:lang w:val="en-GB" w:eastAsia="ja-JP"/>
        </w:rPr>
        <w:t>: SRS)</w:t>
      </w:r>
    </w:p>
    <w:p w14:paraId="52F7266D" w14:textId="656A0177" w:rsidR="005470D9" w:rsidRDefault="005470D9" w:rsidP="001617F4">
      <w:pPr>
        <w:rPr>
          <w:lang w:val="en-GB" w:eastAsia="ja-JP"/>
        </w:rPr>
      </w:pPr>
      <w:r>
        <w:rPr>
          <w:lang w:val="en-GB" w:eastAsia="ja-JP"/>
        </w:rPr>
        <w:t>Note that the UE must be provided with a CSI-RS for tracking/CSI even with the proposed addition</w:t>
      </w:r>
      <w:r w:rsidR="00507B80">
        <w:rPr>
          <w:lang w:val="en-GB" w:eastAsia="ja-JP"/>
        </w:rPr>
        <w:t>, and the NW has to transmit the CSI-RS for tracking</w:t>
      </w:r>
      <w:r w:rsidR="003C4E59">
        <w:rPr>
          <w:lang w:val="en-GB" w:eastAsia="ja-JP"/>
        </w:rPr>
        <w:t>/CSI</w:t>
      </w:r>
      <w:r>
        <w:rPr>
          <w:lang w:val="en-GB" w:eastAsia="ja-JP"/>
        </w:rPr>
        <w:t>. Today, the following TCI state is allowed:</w:t>
      </w:r>
    </w:p>
    <w:p w14:paraId="01C79B8F" w14:textId="75EFCE41" w:rsidR="005470D9" w:rsidRPr="003C4E59" w:rsidRDefault="005470D9" w:rsidP="00C4412A">
      <w:pPr>
        <w:pStyle w:val="ListParagraph"/>
        <w:numPr>
          <w:ilvl w:val="0"/>
          <w:numId w:val="30"/>
        </w:numPr>
        <w:spacing w:after="120"/>
        <w:ind w:left="714" w:hanging="357"/>
        <w:rPr>
          <w:rFonts w:ascii="Arial" w:hAnsi="Arial" w:cs="Arial"/>
          <w:sz w:val="20"/>
          <w:szCs w:val="20"/>
          <w:lang w:val="en-GB" w:eastAsia="ja-JP"/>
        </w:rPr>
      </w:pPr>
      <w:r w:rsidRPr="003C4E59">
        <w:rPr>
          <w:rFonts w:ascii="Arial" w:hAnsi="Arial" w:cs="Arial"/>
          <w:sz w:val="20"/>
          <w:szCs w:val="20"/>
          <w:lang w:val="en-GB" w:eastAsia="ja-JP"/>
        </w:rPr>
        <w:t>Current</w:t>
      </w:r>
      <w:r w:rsidR="00221BEC" w:rsidRPr="003C4E59">
        <w:rPr>
          <w:rFonts w:ascii="Arial" w:hAnsi="Arial" w:cs="Arial"/>
          <w:sz w:val="20"/>
          <w:szCs w:val="20"/>
          <w:lang w:val="en-GB" w:eastAsia="ja-JP"/>
        </w:rPr>
        <w:t>ly supported</w:t>
      </w:r>
      <w:r w:rsidRPr="003C4E59">
        <w:rPr>
          <w:rFonts w:ascii="Arial" w:hAnsi="Arial" w:cs="Arial"/>
          <w:sz w:val="20"/>
          <w:szCs w:val="20"/>
          <w:lang w:val="en-GB" w:eastAsia="ja-JP"/>
        </w:rPr>
        <w:t>: (</w:t>
      </w:r>
      <w:r w:rsidR="00221BEC" w:rsidRPr="003C4E59">
        <w:rPr>
          <w:rFonts w:ascii="Arial" w:hAnsi="Arial" w:cs="Arial"/>
          <w:sz w:val="20"/>
          <w:szCs w:val="20"/>
          <w:lang w:val="en-GB" w:eastAsia="ja-JP"/>
        </w:rPr>
        <w:t>QCL Type</w:t>
      </w:r>
      <w:r w:rsidRPr="003C4E59">
        <w:rPr>
          <w:rFonts w:ascii="Arial" w:hAnsi="Arial" w:cs="Arial"/>
          <w:sz w:val="20"/>
          <w:szCs w:val="20"/>
          <w:lang w:val="en-GB" w:eastAsia="ja-JP"/>
        </w:rPr>
        <w:t xml:space="preserve">A: CSI-RS for tracking/CSI, </w:t>
      </w:r>
      <w:r w:rsidR="00221BEC" w:rsidRPr="003C4E59">
        <w:rPr>
          <w:rFonts w:ascii="Arial" w:hAnsi="Arial" w:cs="Arial"/>
          <w:sz w:val="20"/>
          <w:szCs w:val="20"/>
          <w:lang w:val="en-GB" w:eastAsia="ja-JP"/>
        </w:rPr>
        <w:t>QCL Type</w:t>
      </w:r>
      <w:r w:rsidRPr="003C4E59">
        <w:rPr>
          <w:rFonts w:ascii="Arial" w:hAnsi="Arial" w:cs="Arial"/>
          <w:sz w:val="20"/>
          <w:szCs w:val="20"/>
          <w:lang w:val="en-GB" w:eastAsia="ja-JP"/>
        </w:rPr>
        <w:t>D: CSI-RS for tracking/CSI)</w:t>
      </w:r>
    </w:p>
    <w:p w14:paraId="18BBDB04" w14:textId="538BD683" w:rsidR="004C5907" w:rsidRDefault="005470D9" w:rsidP="005470D9">
      <w:pPr>
        <w:rPr>
          <w:lang w:val="en-GB" w:eastAsia="ja-JP"/>
        </w:rPr>
      </w:pPr>
      <w:r>
        <w:rPr>
          <w:lang w:val="en-GB" w:eastAsia="ja-JP"/>
        </w:rPr>
        <w:lastRenderedPageBreak/>
        <w:t xml:space="preserve">This means that we can reuse the CSI-RS used for </w:t>
      </w:r>
      <w:r w:rsidR="00221BEC">
        <w:rPr>
          <w:lang w:val="en-GB" w:eastAsia="ja-JP"/>
        </w:rPr>
        <w:t>QCL Type</w:t>
      </w:r>
      <w:r>
        <w:rPr>
          <w:lang w:val="en-GB" w:eastAsia="ja-JP"/>
        </w:rPr>
        <w:t xml:space="preserve">A also for </w:t>
      </w:r>
      <w:r w:rsidR="00221BEC">
        <w:rPr>
          <w:lang w:val="en-GB" w:eastAsia="ja-JP"/>
        </w:rPr>
        <w:t>QCL Type</w:t>
      </w:r>
      <w:r>
        <w:rPr>
          <w:lang w:val="en-GB" w:eastAsia="ja-JP"/>
        </w:rPr>
        <w:t xml:space="preserve">D. </w:t>
      </w:r>
      <w:r w:rsidR="00507B80">
        <w:rPr>
          <w:lang w:val="en-GB" w:eastAsia="ja-JP"/>
        </w:rPr>
        <w:t xml:space="preserve">Since the CSI-RS </w:t>
      </w:r>
      <w:r w:rsidR="003C4E59">
        <w:rPr>
          <w:lang w:val="en-GB" w:eastAsia="ja-JP"/>
        </w:rPr>
        <w:t xml:space="preserve">must be configured and transmitted </w:t>
      </w:r>
      <w:r w:rsidR="00507B80">
        <w:rPr>
          <w:lang w:val="en-GB" w:eastAsia="ja-JP"/>
        </w:rPr>
        <w:t>in any case, a</w:t>
      </w:r>
      <w:r>
        <w:rPr>
          <w:lang w:val="en-GB" w:eastAsia="ja-JP"/>
        </w:rPr>
        <w:t xml:space="preserve">dding SSB and/or SRS as an additional source RS for </w:t>
      </w:r>
      <w:r w:rsidR="00221BEC">
        <w:rPr>
          <w:lang w:val="en-GB" w:eastAsia="ja-JP"/>
        </w:rPr>
        <w:t xml:space="preserve">QCL TypeD </w:t>
      </w:r>
      <w:r w:rsidR="00507B80">
        <w:rPr>
          <w:lang w:val="en-GB" w:eastAsia="ja-JP"/>
        </w:rPr>
        <w:t>does not lead to any reduction in UE configuration overhead, no</w:t>
      </w:r>
      <w:r w:rsidR="004C5907">
        <w:rPr>
          <w:lang w:val="en-GB" w:eastAsia="ja-JP"/>
        </w:rPr>
        <w:t xml:space="preserve">r in </w:t>
      </w:r>
      <w:r w:rsidR="003C4E59">
        <w:rPr>
          <w:lang w:val="en-GB" w:eastAsia="ja-JP"/>
        </w:rPr>
        <w:t xml:space="preserve">any reduction of </w:t>
      </w:r>
      <w:r w:rsidR="004C5907">
        <w:rPr>
          <w:lang w:val="en-GB" w:eastAsia="ja-JP"/>
        </w:rPr>
        <w:t xml:space="preserve">transmission overhead </w:t>
      </w:r>
      <w:r w:rsidR="003C4E59">
        <w:rPr>
          <w:lang w:val="en-GB" w:eastAsia="ja-JP"/>
        </w:rPr>
        <w:t>at</w:t>
      </w:r>
      <w:r w:rsidR="004C5907">
        <w:rPr>
          <w:lang w:val="en-GB" w:eastAsia="ja-JP"/>
        </w:rPr>
        <w:t xml:space="preserve"> the NW side:</w:t>
      </w:r>
    </w:p>
    <w:p w14:paraId="6A21C3A1" w14:textId="74C452CE" w:rsidR="004C5907" w:rsidRPr="00B62A86" w:rsidRDefault="004C5907" w:rsidP="005470D9">
      <w:pPr>
        <w:pStyle w:val="Observation"/>
        <w:rPr>
          <w:lang w:val="en-GB"/>
        </w:rPr>
      </w:pPr>
      <w:bookmarkStart w:id="12" w:name="_Toc79658913"/>
      <w:r>
        <w:rPr>
          <w:lang w:val="en-GB"/>
        </w:rPr>
        <w:t>Since SSB or SRS cannot be used as source RS for QCL TypeA, there is no reduction in configuration or transmission overhead associated with the introduction of SSB or SRS as a source RS for QCL TypeD.</w:t>
      </w:r>
      <w:bookmarkEnd w:id="12"/>
    </w:p>
    <w:p w14:paraId="207591B0" w14:textId="636C5082" w:rsidR="005470D9" w:rsidRPr="005470D9" w:rsidRDefault="004C5907" w:rsidP="005470D9">
      <w:pPr>
        <w:rPr>
          <w:lang w:val="en-GB" w:eastAsia="ja-JP"/>
        </w:rPr>
      </w:pPr>
      <w:r>
        <w:rPr>
          <w:lang w:val="en-GB" w:eastAsia="ja-JP"/>
        </w:rPr>
        <w:t xml:space="preserve">However, if SSB could be used as QCL source also for QCL TypeA, there would be a benefit to allow SSB as a source RS for QCL TypeD. </w:t>
      </w:r>
    </w:p>
    <w:p w14:paraId="14F7F34E" w14:textId="6AB2372C" w:rsidR="00113EC9" w:rsidRPr="00113EC9" w:rsidRDefault="00113EC9" w:rsidP="00113EC9">
      <w:pPr>
        <w:rPr>
          <w:lang w:val="en-GB" w:eastAsia="ja-JP"/>
        </w:rPr>
      </w:pPr>
      <w:r>
        <w:rPr>
          <w:lang w:val="en-GB" w:eastAsia="ja-JP"/>
        </w:rPr>
        <w:t>W</w:t>
      </w:r>
      <w:r w:rsidRPr="00113EC9">
        <w:rPr>
          <w:lang w:val="en-GB" w:eastAsia="ja-JP"/>
        </w:rPr>
        <w:t xml:space="preserve">e fail to see the benefits </w:t>
      </w:r>
      <w:r>
        <w:rPr>
          <w:lang w:val="en-GB" w:eastAsia="ja-JP"/>
        </w:rPr>
        <w:t>to support</w:t>
      </w:r>
      <w:r w:rsidRPr="00113EC9">
        <w:rPr>
          <w:lang w:val="en-GB" w:eastAsia="ja-JP"/>
        </w:rPr>
        <w:t xml:space="preserve"> SRS as a source RS in DL TCI state. It is well-known that the UE can derive an UL TX spatial filter from a DL RX spatial filter, and it is quite likely that the reversed direction is also possible. This would point to that it could be relevant to allow an SRS as an RS from which the UE could derive the QCL-TypeD properties to receive, e.g., PDCCH. The idea would be that some TCI states contain SRS resource Ids. The gNB triggers an SRS sweep, performs measurements on the received SRSs, determines a preferred SRS resource, and activates a TCI state which contains the preferred SRS resource Id. The UE would then use the DL RX spatial filter corresponding to the UL TX spatial filter it used for the transmission of the preferred SRS resource.</w:t>
      </w:r>
    </w:p>
    <w:p w14:paraId="073DBC6C" w14:textId="77777777" w:rsidR="00113EC9" w:rsidRPr="00113EC9" w:rsidRDefault="00113EC9" w:rsidP="00113EC9">
      <w:pPr>
        <w:rPr>
          <w:lang w:val="en-GB" w:eastAsia="ja-JP"/>
        </w:rPr>
      </w:pPr>
      <w:r w:rsidRPr="00113EC9">
        <w:rPr>
          <w:lang w:val="en-GB" w:eastAsia="ja-JP"/>
        </w:rPr>
        <w:t>The benefits of such a solution are questionable, for the following two reasons:</w:t>
      </w:r>
    </w:p>
    <w:p w14:paraId="667240D7" w14:textId="4A8194C4" w:rsidR="00113EC9" w:rsidRPr="00113EC9" w:rsidRDefault="00113EC9" w:rsidP="00C4412A">
      <w:pPr>
        <w:pStyle w:val="ListParagraph"/>
        <w:numPr>
          <w:ilvl w:val="0"/>
          <w:numId w:val="14"/>
        </w:numPr>
        <w:rPr>
          <w:rFonts w:ascii="Arial" w:hAnsi="Arial" w:cs="Arial"/>
          <w:sz w:val="20"/>
          <w:szCs w:val="20"/>
          <w:lang w:val="en-GB" w:eastAsia="ja-JP"/>
        </w:rPr>
      </w:pPr>
      <w:r w:rsidRPr="00113EC9">
        <w:rPr>
          <w:rFonts w:ascii="Arial" w:hAnsi="Arial" w:cs="Arial"/>
          <w:sz w:val="20"/>
          <w:szCs w:val="20"/>
          <w:lang w:val="en-GB" w:eastAsia="ja-JP"/>
        </w:rPr>
        <w:t xml:space="preserve">The preferred DL TX filter (the UE RX beam) must be updated to cater for that the UE rotates. This change can be rather quick, meaning that frequent SRSs must be triggered, only to maintain DL connectivity. </w:t>
      </w:r>
      <w:r>
        <w:rPr>
          <w:rFonts w:ascii="Arial" w:hAnsi="Arial" w:cs="Arial"/>
          <w:sz w:val="20"/>
          <w:szCs w:val="20"/>
          <w:lang w:val="en-GB" w:eastAsia="ja-JP"/>
        </w:rPr>
        <w:t>The same issue applies to the use of SRS as a source RS for UL TCI.</w:t>
      </w:r>
      <w:r w:rsidRPr="00113EC9">
        <w:rPr>
          <w:rFonts w:ascii="Arial" w:hAnsi="Arial" w:cs="Arial"/>
          <w:sz w:val="20"/>
          <w:szCs w:val="20"/>
          <w:lang w:val="en-GB" w:eastAsia="ja-JP"/>
        </w:rPr>
        <w:t xml:space="preserve"> </w:t>
      </w:r>
    </w:p>
    <w:p w14:paraId="482E6E7E" w14:textId="77777777" w:rsidR="00113EC9" w:rsidRPr="00113EC9" w:rsidRDefault="00113EC9" w:rsidP="00C4412A">
      <w:pPr>
        <w:pStyle w:val="ListParagraph"/>
        <w:numPr>
          <w:ilvl w:val="0"/>
          <w:numId w:val="14"/>
        </w:numPr>
        <w:rPr>
          <w:rFonts w:ascii="Arial" w:hAnsi="Arial" w:cs="Arial"/>
          <w:sz w:val="20"/>
          <w:szCs w:val="20"/>
          <w:lang w:val="en-GB" w:eastAsia="ja-JP"/>
        </w:rPr>
      </w:pPr>
      <w:r w:rsidRPr="00113EC9">
        <w:rPr>
          <w:rFonts w:ascii="Arial" w:hAnsi="Arial" w:cs="Arial"/>
          <w:sz w:val="20"/>
          <w:szCs w:val="20"/>
          <w:lang w:val="en-GB" w:eastAsia="ja-JP"/>
        </w:rPr>
        <w:t>The TCI state must anyway contain a DL RS so that the UE can derive the QCL-TypeA or QCL-TypeC properties. That same RS could just as well have been used also to derive the QCL-TypeD properties. In fact, the UE must use a certain RX beam to receive the RS used for QCL-TypeA or QCL-TypeC, and it would make the setup inconsistent if different RX beam were used to receive the QCL-TypeA RS and the target signal.</w:t>
      </w:r>
      <w:r w:rsidRPr="00113EC9">
        <w:rPr>
          <w:rFonts w:ascii="Arial" w:hAnsi="Arial" w:cs="Arial"/>
          <w:sz w:val="20"/>
          <w:szCs w:val="20"/>
          <w:lang w:val="en-GB" w:eastAsia="ja-JP"/>
        </w:rPr>
        <w:br/>
      </w:r>
    </w:p>
    <w:p w14:paraId="310C263A" w14:textId="77777777" w:rsidR="00113EC9" w:rsidRPr="00113EC9" w:rsidRDefault="00113EC9" w:rsidP="00113EC9">
      <w:pPr>
        <w:rPr>
          <w:lang w:val="en-GB" w:eastAsia="ja-JP"/>
        </w:rPr>
      </w:pPr>
      <w:r w:rsidRPr="00113EC9">
        <w:rPr>
          <w:lang w:val="en-GB" w:eastAsia="ja-JP"/>
        </w:rPr>
        <w:t>Based on the above discussion, we propose</w:t>
      </w:r>
    </w:p>
    <w:p w14:paraId="4DD5B495" w14:textId="679533DA" w:rsidR="00957CF4" w:rsidRPr="00957CF4" w:rsidRDefault="00113EC9" w:rsidP="00957CF4">
      <w:pPr>
        <w:pStyle w:val="Proposal"/>
        <w:rPr>
          <w:lang w:val="en-GB"/>
        </w:rPr>
      </w:pPr>
      <w:bookmarkStart w:id="13" w:name="_Toc79658929"/>
      <w:r w:rsidRPr="00113EC9">
        <w:rPr>
          <w:lang w:val="en-GB"/>
        </w:rPr>
        <w:t>SRS for beam management cannot be configured as a source RS to represent a DL RX spatial filter.</w:t>
      </w:r>
      <w:bookmarkEnd w:id="13"/>
    </w:p>
    <w:p w14:paraId="14F9D512" w14:textId="35383A26" w:rsidR="00271EFD" w:rsidRPr="0027059E" w:rsidRDefault="00797F46" w:rsidP="00271EFD">
      <w:pPr>
        <w:pStyle w:val="Heading3"/>
        <w:rPr>
          <w:rFonts w:eastAsia="Batang"/>
        </w:rPr>
      </w:pPr>
      <w:r w:rsidRPr="0027059E">
        <w:rPr>
          <w:rFonts w:eastAsia="Batang"/>
        </w:rPr>
        <w:t xml:space="preserve">2.1.3 </w:t>
      </w:r>
      <w:r w:rsidR="00BA7B2A" w:rsidRPr="0027059E">
        <w:rPr>
          <w:rFonts w:eastAsia="Batang"/>
        </w:rPr>
        <w:tab/>
      </w:r>
      <w:r w:rsidRPr="0027059E">
        <w:rPr>
          <w:rFonts w:eastAsia="Batang"/>
        </w:rPr>
        <w:t>On N&gt;1 and M&gt;1</w:t>
      </w:r>
    </w:p>
    <w:p w14:paraId="10AB19AD" w14:textId="37BEC8B8" w:rsidR="00271EFD" w:rsidRPr="0027059E" w:rsidRDefault="00271EFD" w:rsidP="003F19BA">
      <w:pPr>
        <w:rPr>
          <w:lang w:eastAsia="ja-JP"/>
        </w:rPr>
      </w:pPr>
      <w:r w:rsidRPr="0027059E">
        <w:rPr>
          <w:lang w:eastAsia="ja-JP"/>
        </w:rPr>
        <w:t>In RAN1#105-e, the following agreement was made:</w:t>
      </w:r>
    </w:p>
    <w:p w14:paraId="50F42E62" w14:textId="77777777" w:rsidR="00271EFD" w:rsidRPr="0027059E" w:rsidRDefault="00271EFD" w:rsidP="00271EFD">
      <w:pPr>
        <w:pStyle w:val="BodyText"/>
      </w:pPr>
      <w:r w:rsidRPr="0027059E">
        <w:rPr>
          <w:noProof/>
        </w:rPr>
        <mc:AlternateContent>
          <mc:Choice Requires="wps">
            <w:drawing>
              <wp:inline distT="0" distB="0" distL="0" distR="0" wp14:anchorId="42A44A9B" wp14:editId="33CEF074">
                <wp:extent cx="6146359" cy="771276"/>
                <wp:effectExtent l="0" t="0" r="26035" b="24765"/>
                <wp:docPr id="25" name="Text Box 25"/>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032DCF4B" w14:textId="77777777" w:rsidR="00E376B5" w:rsidRPr="007A4B66" w:rsidRDefault="00E376B5" w:rsidP="00271EFD">
                            <w:pPr>
                              <w:rPr>
                                <w:rFonts w:ascii="Times New Roman" w:hAnsi="Times New Roman" w:cs="Times New Roman"/>
                                <w:szCs w:val="20"/>
                                <w:lang w:eastAsia="zh-CN"/>
                              </w:rPr>
                            </w:pPr>
                            <w:r w:rsidRPr="007A4B66">
                              <w:rPr>
                                <w:rStyle w:val="Strong"/>
                                <w:rFonts w:ascii="Times New Roman" w:hAnsi="Times New Roman" w:cs="Times New Roman"/>
                                <w:color w:val="000000"/>
                                <w:szCs w:val="20"/>
                                <w:highlight w:val="green"/>
                              </w:rPr>
                              <w:t>Agreement</w:t>
                            </w:r>
                          </w:p>
                          <w:p w14:paraId="0F7618A3" w14:textId="77777777" w:rsidR="00E376B5" w:rsidRPr="007A4B66" w:rsidRDefault="00E376B5" w:rsidP="00271EFD">
                            <w:pPr>
                              <w:jc w:val="both"/>
                              <w:rPr>
                                <w:rFonts w:ascii="Times New Roman" w:hAnsi="Times New Roman" w:cs="Times New Roman"/>
                                <w:szCs w:val="20"/>
                              </w:rPr>
                            </w:pPr>
                            <w:r w:rsidRPr="007A4B66">
                              <w:rPr>
                                <w:rFonts w:ascii="Times New Roman" w:hAnsi="Times New Roman" w:cs="Times New Roman"/>
                                <w:szCs w:val="20"/>
                              </w:rPr>
                              <w:t>On Rel-17 unified TCI,</w:t>
                            </w:r>
                            <w:r w:rsidRPr="007A4B66">
                              <w:rPr>
                                <w:rStyle w:val="apple-converted-space"/>
                                <w:rFonts w:ascii="Times New Roman" w:hAnsi="Times New Roman" w:cs="Times New Roman"/>
                                <w:szCs w:val="20"/>
                              </w:rPr>
                              <w:t> </w:t>
                            </w:r>
                            <w:r w:rsidRPr="007A4B66">
                              <w:rPr>
                                <w:rFonts w:ascii="Times New Roman" w:hAnsi="Times New Roman" w:cs="Times New Roman"/>
                                <w:szCs w:val="20"/>
                              </w:rPr>
                              <w:t>in RAN1#106-e, for M&gt;1 and/or N&gt;1:</w:t>
                            </w:r>
                          </w:p>
                          <w:p w14:paraId="409BD506" w14:textId="77777777" w:rsidR="00E376B5" w:rsidRPr="007A4B66" w:rsidRDefault="00E376B5" w:rsidP="00C4412A">
                            <w:pPr>
                              <w:numPr>
                                <w:ilvl w:val="0"/>
                                <w:numId w:val="46"/>
                              </w:numPr>
                              <w:spacing w:after="0" w:line="240" w:lineRule="auto"/>
                              <w:rPr>
                                <w:rFonts w:ascii="Times New Roman" w:hAnsi="Times New Roman" w:cs="Times New Roman"/>
                                <w:szCs w:val="20"/>
                              </w:rPr>
                            </w:pPr>
                            <w:r w:rsidRPr="007A4B66">
                              <w:rPr>
                                <w:rFonts w:ascii="Times New Roman" w:hAnsi="Times New Roman" w:cs="Times New Roman"/>
                                <w:szCs w:val="20"/>
                              </w:rPr>
                              <w:t>Identify and agree on use cases </w:t>
                            </w:r>
                          </w:p>
                          <w:p w14:paraId="35480D50" w14:textId="77777777" w:rsidR="00E376B5" w:rsidRPr="007A4B66" w:rsidRDefault="00E376B5" w:rsidP="00C4412A">
                            <w:pPr>
                              <w:numPr>
                                <w:ilvl w:val="0"/>
                                <w:numId w:val="46"/>
                              </w:numPr>
                              <w:spacing w:after="0" w:line="240" w:lineRule="auto"/>
                              <w:rPr>
                                <w:rFonts w:ascii="Times New Roman" w:hAnsi="Times New Roman" w:cs="Times New Roman"/>
                                <w:szCs w:val="20"/>
                              </w:rPr>
                            </w:pPr>
                            <w:r w:rsidRPr="007A4B66">
                              <w:rPr>
                                <w:rFonts w:ascii="Times New Roman" w:hAnsi="Times New Roman" w:cs="Times New Roman"/>
                                <w:szCs w:val="20"/>
                              </w:rPr>
                              <w:t>Decide whether to support M&gt;1 and/or N&gt;1, and if so, the maximum value of M and/or N</w:t>
                            </w:r>
                          </w:p>
                          <w:p w14:paraId="28339081" w14:textId="77777777" w:rsidR="00E376B5" w:rsidRPr="007A4B66" w:rsidRDefault="00E376B5" w:rsidP="00C4412A">
                            <w:pPr>
                              <w:numPr>
                                <w:ilvl w:val="0"/>
                                <w:numId w:val="46"/>
                              </w:numPr>
                              <w:spacing w:after="0" w:line="240" w:lineRule="auto"/>
                              <w:rPr>
                                <w:rFonts w:ascii="Times New Roman" w:hAnsi="Times New Roman" w:cs="Times New Roman"/>
                                <w:szCs w:val="20"/>
                              </w:rPr>
                            </w:pPr>
                            <w:r w:rsidRPr="007A4B66">
                              <w:rPr>
                                <w:rFonts w:ascii="Times New Roman" w:hAnsi="Times New Roman" w:cs="Times New Roman"/>
                                <w:szCs w:val="20"/>
                              </w:rPr>
                              <w:t>If supported, identify feasible candidate schemes for beam indication signaling mechanism (including TCI state activation)</w:t>
                            </w:r>
                          </w:p>
                          <w:p w14:paraId="5D3B618E" w14:textId="77777777" w:rsidR="00E376B5" w:rsidRPr="007A4B66" w:rsidRDefault="00E376B5" w:rsidP="00271EFD">
                            <w:pPr>
                              <w:jc w:val="both"/>
                              <w:rPr>
                                <w:rFonts w:ascii="Times New Roman" w:hAnsi="Times New Roman" w:cs="Times New Roman"/>
                                <w:szCs w:val="20"/>
                              </w:rPr>
                            </w:pPr>
                            <w:r w:rsidRPr="007A4B66">
                              <w:rPr>
                                <w:rFonts w:ascii="Times New Roman" w:hAnsi="Times New Roman" w:cs="Times New Roman"/>
                                <w:szCs w:val="20"/>
                              </w:rPr>
                              <w:t>Note:</w:t>
                            </w:r>
                          </w:p>
                          <w:p w14:paraId="4A1A635F" w14:textId="77777777" w:rsidR="00E376B5" w:rsidRPr="007A4B66" w:rsidRDefault="00E376B5" w:rsidP="00C4412A">
                            <w:pPr>
                              <w:numPr>
                                <w:ilvl w:val="0"/>
                                <w:numId w:val="47"/>
                              </w:numPr>
                              <w:spacing w:after="0" w:line="240" w:lineRule="auto"/>
                              <w:rPr>
                                <w:rFonts w:ascii="Times New Roman" w:hAnsi="Times New Roman" w:cs="Times New Roman"/>
                                <w:szCs w:val="20"/>
                              </w:rPr>
                            </w:pPr>
                            <w:r w:rsidRPr="007A4B66">
                              <w:rPr>
                                <w:rFonts w:ascii="Times New Roman" w:hAnsi="Times New Roman" w:cs="Times New Roman"/>
                                <w:szCs w:val="20"/>
                              </w:rPr>
                              <w:t>Previous agreement in RAN1#104b-e that remaining unused DCI fields and codepoints are reserved in R17 are not to be reverted.</w:t>
                            </w:r>
                          </w:p>
                          <w:p w14:paraId="19CFB8E0" w14:textId="2CA3E257" w:rsidR="00E376B5" w:rsidRPr="00271EFD" w:rsidRDefault="00E376B5" w:rsidP="00C4412A">
                            <w:pPr>
                              <w:numPr>
                                <w:ilvl w:val="0"/>
                                <w:numId w:val="47"/>
                              </w:numPr>
                              <w:spacing w:after="0" w:line="240" w:lineRule="auto"/>
                              <w:rPr>
                                <w:rFonts w:ascii="Times New Roman" w:hAnsi="Times New Roman" w:cs="Times New Roman"/>
                                <w:szCs w:val="20"/>
                              </w:rPr>
                            </w:pPr>
                            <w:r w:rsidRPr="007A4B66">
                              <w:rPr>
                                <w:rFonts w:ascii="Times New Roman" w:hAnsi="Times New Roman" w:cs="Times New Roman"/>
                                <w:szCs w:val="20"/>
                              </w:rPr>
                              <w:t>The use case of simultaneous UL transmission from multiple UE panels are not to be considered in Rel-17 as it is out of scope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2A44A9B" id="Text Box 25" o:spid="_x0000_s1031"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OuvWF9QAgAAqgQAAA4AAAAAAAAAAAAAAAAALgIAAGRycy9lMm9Eb2MueG1sUEsBAi0AFAAGAAgA&#10;AAAhACIEwubcAAAABQEAAA8AAAAAAAAAAAAAAAAAqgQAAGRycy9kb3ducmV2LnhtbFBLBQYAAAAA&#10;BAAEAPMAAACzBQAAAAA=&#10;" fillcolor="white [3201]" strokeweight=".5pt">
                <v:textbox style="mso-fit-shape-to-text:t">
                  <w:txbxContent>
                    <w:p w14:paraId="032DCF4B" w14:textId="77777777" w:rsidR="00E376B5" w:rsidRPr="007A4B66" w:rsidRDefault="00E376B5" w:rsidP="00271EFD">
                      <w:pPr>
                        <w:rPr>
                          <w:rFonts w:ascii="Times New Roman" w:hAnsi="Times New Roman" w:cs="Times New Roman"/>
                          <w:szCs w:val="20"/>
                          <w:lang w:eastAsia="zh-CN"/>
                        </w:rPr>
                      </w:pPr>
                      <w:r w:rsidRPr="007A4B66">
                        <w:rPr>
                          <w:rStyle w:val="Strong"/>
                          <w:rFonts w:ascii="Times New Roman" w:hAnsi="Times New Roman" w:cs="Times New Roman"/>
                          <w:color w:val="000000"/>
                          <w:szCs w:val="20"/>
                          <w:highlight w:val="green"/>
                        </w:rPr>
                        <w:t>Agreement</w:t>
                      </w:r>
                    </w:p>
                    <w:p w14:paraId="0F7618A3" w14:textId="77777777" w:rsidR="00E376B5" w:rsidRPr="007A4B66" w:rsidRDefault="00E376B5" w:rsidP="00271EFD">
                      <w:pPr>
                        <w:jc w:val="both"/>
                        <w:rPr>
                          <w:rFonts w:ascii="Times New Roman" w:hAnsi="Times New Roman" w:cs="Times New Roman"/>
                          <w:szCs w:val="20"/>
                        </w:rPr>
                      </w:pPr>
                      <w:r w:rsidRPr="007A4B66">
                        <w:rPr>
                          <w:rFonts w:ascii="Times New Roman" w:hAnsi="Times New Roman" w:cs="Times New Roman"/>
                          <w:szCs w:val="20"/>
                        </w:rPr>
                        <w:t>On Rel-17 unified TCI,</w:t>
                      </w:r>
                      <w:r w:rsidRPr="007A4B66">
                        <w:rPr>
                          <w:rStyle w:val="apple-converted-space"/>
                          <w:rFonts w:ascii="Times New Roman" w:hAnsi="Times New Roman" w:cs="Times New Roman"/>
                          <w:szCs w:val="20"/>
                        </w:rPr>
                        <w:t> </w:t>
                      </w:r>
                      <w:r w:rsidRPr="007A4B66">
                        <w:rPr>
                          <w:rFonts w:ascii="Times New Roman" w:hAnsi="Times New Roman" w:cs="Times New Roman"/>
                          <w:szCs w:val="20"/>
                        </w:rPr>
                        <w:t>in RAN1#106-e, for M&gt;1 and/or N&gt;1:</w:t>
                      </w:r>
                    </w:p>
                    <w:p w14:paraId="409BD506" w14:textId="77777777" w:rsidR="00E376B5" w:rsidRPr="007A4B66" w:rsidRDefault="00E376B5" w:rsidP="00C4412A">
                      <w:pPr>
                        <w:numPr>
                          <w:ilvl w:val="0"/>
                          <w:numId w:val="46"/>
                        </w:numPr>
                        <w:spacing w:after="0" w:line="240" w:lineRule="auto"/>
                        <w:rPr>
                          <w:rFonts w:ascii="Times New Roman" w:hAnsi="Times New Roman" w:cs="Times New Roman"/>
                          <w:szCs w:val="20"/>
                        </w:rPr>
                      </w:pPr>
                      <w:r w:rsidRPr="007A4B66">
                        <w:rPr>
                          <w:rFonts w:ascii="Times New Roman" w:hAnsi="Times New Roman" w:cs="Times New Roman"/>
                          <w:szCs w:val="20"/>
                        </w:rPr>
                        <w:t>Identify and agree on use cases </w:t>
                      </w:r>
                    </w:p>
                    <w:p w14:paraId="35480D50" w14:textId="77777777" w:rsidR="00E376B5" w:rsidRPr="007A4B66" w:rsidRDefault="00E376B5" w:rsidP="00C4412A">
                      <w:pPr>
                        <w:numPr>
                          <w:ilvl w:val="0"/>
                          <w:numId w:val="46"/>
                        </w:numPr>
                        <w:spacing w:after="0" w:line="240" w:lineRule="auto"/>
                        <w:rPr>
                          <w:rFonts w:ascii="Times New Roman" w:hAnsi="Times New Roman" w:cs="Times New Roman"/>
                          <w:szCs w:val="20"/>
                        </w:rPr>
                      </w:pPr>
                      <w:r w:rsidRPr="007A4B66">
                        <w:rPr>
                          <w:rFonts w:ascii="Times New Roman" w:hAnsi="Times New Roman" w:cs="Times New Roman"/>
                          <w:szCs w:val="20"/>
                        </w:rPr>
                        <w:t>Decide whether to support M&gt;1 and/or N&gt;1, and if so, the maximum value of M and/or N</w:t>
                      </w:r>
                    </w:p>
                    <w:p w14:paraId="28339081" w14:textId="77777777" w:rsidR="00E376B5" w:rsidRPr="007A4B66" w:rsidRDefault="00E376B5" w:rsidP="00C4412A">
                      <w:pPr>
                        <w:numPr>
                          <w:ilvl w:val="0"/>
                          <w:numId w:val="46"/>
                        </w:numPr>
                        <w:spacing w:after="0" w:line="240" w:lineRule="auto"/>
                        <w:rPr>
                          <w:rFonts w:ascii="Times New Roman" w:hAnsi="Times New Roman" w:cs="Times New Roman"/>
                          <w:szCs w:val="20"/>
                        </w:rPr>
                      </w:pPr>
                      <w:r w:rsidRPr="007A4B66">
                        <w:rPr>
                          <w:rFonts w:ascii="Times New Roman" w:hAnsi="Times New Roman" w:cs="Times New Roman"/>
                          <w:szCs w:val="20"/>
                        </w:rPr>
                        <w:t>If supported, identify feasible candidate schemes for beam indication signaling mechanism (including TCI state activation)</w:t>
                      </w:r>
                    </w:p>
                    <w:p w14:paraId="5D3B618E" w14:textId="77777777" w:rsidR="00E376B5" w:rsidRPr="007A4B66" w:rsidRDefault="00E376B5" w:rsidP="00271EFD">
                      <w:pPr>
                        <w:jc w:val="both"/>
                        <w:rPr>
                          <w:rFonts w:ascii="Times New Roman" w:hAnsi="Times New Roman" w:cs="Times New Roman"/>
                          <w:szCs w:val="20"/>
                        </w:rPr>
                      </w:pPr>
                      <w:r w:rsidRPr="007A4B66">
                        <w:rPr>
                          <w:rFonts w:ascii="Times New Roman" w:hAnsi="Times New Roman" w:cs="Times New Roman"/>
                          <w:szCs w:val="20"/>
                        </w:rPr>
                        <w:t>Note:</w:t>
                      </w:r>
                    </w:p>
                    <w:p w14:paraId="4A1A635F" w14:textId="77777777" w:rsidR="00E376B5" w:rsidRPr="007A4B66" w:rsidRDefault="00E376B5" w:rsidP="00C4412A">
                      <w:pPr>
                        <w:numPr>
                          <w:ilvl w:val="0"/>
                          <w:numId w:val="47"/>
                        </w:numPr>
                        <w:spacing w:after="0" w:line="240" w:lineRule="auto"/>
                        <w:rPr>
                          <w:rFonts w:ascii="Times New Roman" w:hAnsi="Times New Roman" w:cs="Times New Roman"/>
                          <w:szCs w:val="20"/>
                        </w:rPr>
                      </w:pPr>
                      <w:r w:rsidRPr="007A4B66">
                        <w:rPr>
                          <w:rFonts w:ascii="Times New Roman" w:hAnsi="Times New Roman" w:cs="Times New Roman"/>
                          <w:szCs w:val="20"/>
                        </w:rPr>
                        <w:t>Previous agreement in RAN1#104b-e that remaining unused DCI fields and codepoints are reserved in R17 are not to be reverted.</w:t>
                      </w:r>
                    </w:p>
                    <w:p w14:paraId="19CFB8E0" w14:textId="2CA3E257" w:rsidR="00E376B5" w:rsidRPr="00271EFD" w:rsidRDefault="00E376B5" w:rsidP="00C4412A">
                      <w:pPr>
                        <w:numPr>
                          <w:ilvl w:val="0"/>
                          <w:numId w:val="47"/>
                        </w:numPr>
                        <w:spacing w:after="0" w:line="240" w:lineRule="auto"/>
                        <w:rPr>
                          <w:rFonts w:ascii="Times New Roman" w:hAnsi="Times New Roman" w:cs="Times New Roman"/>
                          <w:szCs w:val="20"/>
                        </w:rPr>
                      </w:pPr>
                      <w:r w:rsidRPr="007A4B66">
                        <w:rPr>
                          <w:rFonts w:ascii="Times New Roman" w:hAnsi="Times New Roman" w:cs="Times New Roman"/>
                          <w:szCs w:val="20"/>
                        </w:rPr>
                        <w:t>The use case of simultaneous UL transmission from multiple UE panels are not to be considered in Rel-17 as it is out of scope</w:t>
                      </w:r>
                    </w:p>
                  </w:txbxContent>
                </v:textbox>
                <w10:anchorlock/>
              </v:shape>
            </w:pict>
          </mc:Fallback>
        </mc:AlternateContent>
      </w:r>
      <w:r w:rsidRPr="0027059E">
        <w:rPr>
          <w:lang w:val="en-GB" w:eastAsia="ja-JP"/>
        </w:rPr>
        <w:t xml:space="preserve"> </w:t>
      </w:r>
    </w:p>
    <w:p w14:paraId="3CE873C8" w14:textId="04FF3AC1" w:rsidR="009A0A3D" w:rsidRPr="0027059E" w:rsidRDefault="004A2502" w:rsidP="003F19BA">
      <w:pPr>
        <w:rPr>
          <w:lang w:val="en-GB" w:eastAsia="ja-JP"/>
        </w:rPr>
      </w:pPr>
      <w:r w:rsidRPr="0027059E">
        <w:rPr>
          <w:lang w:val="en-GB" w:eastAsia="ja-JP"/>
        </w:rPr>
        <w:t xml:space="preserve">The Rel-17 TCI framework is optimized for single beam operation, where all channels and signals are received and transmitted using the same DL QCL assumptions and UL Tx spatial filter, respectively. The extension to multiple </w:t>
      </w:r>
      <w:r w:rsidR="00FF0DF9" w:rsidRPr="0027059E">
        <w:rPr>
          <w:lang w:val="en-GB" w:eastAsia="ja-JP"/>
        </w:rPr>
        <w:t xml:space="preserve">beams, where M or N&gt;1 </w:t>
      </w:r>
      <w:r w:rsidR="009A0A3D" w:rsidRPr="0027059E">
        <w:rPr>
          <w:lang w:val="en-GB" w:eastAsia="ja-JP"/>
        </w:rPr>
        <w:t xml:space="preserve">has been discussed back and forth during the entire WI. Still, it is not fully clear what this means: it is unclear if this is limited to the agreed DCI indication, or if other indication methods are also applicable. For example, if the UE is provided with one TCI state in DCI, and is </w:t>
      </w:r>
      <w:r w:rsidR="009A0A3D" w:rsidRPr="0027059E">
        <w:rPr>
          <w:lang w:val="en-GB" w:eastAsia="ja-JP"/>
        </w:rPr>
        <w:lastRenderedPageBreak/>
        <w:t>then required to perform measurements on aperiodic CSI-RS with another TCI state, does this imply M&gt;1? Or is M/N&gt;1 related to reception of PDCCH/PDSCH</w:t>
      </w:r>
      <w:r w:rsidR="0027059E">
        <w:rPr>
          <w:lang w:val="en-GB" w:eastAsia="ja-JP"/>
        </w:rPr>
        <w:t xml:space="preserve"> and transmission of PUCCH/PUSCH</w:t>
      </w:r>
      <w:r w:rsidR="009A0A3D" w:rsidRPr="0027059E">
        <w:rPr>
          <w:lang w:val="en-GB" w:eastAsia="ja-JP"/>
        </w:rPr>
        <w:t xml:space="preserve">, </w:t>
      </w:r>
      <w:r w:rsidR="0027059E">
        <w:rPr>
          <w:lang w:val="en-GB" w:eastAsia="ja-JP"/>
        </w:rPr>
        <w:t xml:space="preserve">respectively, </w:t>
      </w:r>
      <w:r w:rsidR="009A0A3D" w:rsidRPr="0027059E">
        <w:rPr>
          <w:lang w:val="en-GB" w:eastAsia="ja-JP"/>
        </w:rPr>
        <w:t>implying multi-TRP operation?</w:t>
      </w:r>
      <w:r w:rsidR="0027059E">
        <w:rPr>
          <w:lang w:val="en-GB" w:eastAsia="ja-JP"/>
        </w:rPr>
        <w:t xml:space="preserve"> </w:t>
      </w:r>
    </w:p>
    <w:p w14:paraId="12AD9E84" w14:textId="29369C66" w:rsidR="009A0A3D" w:rsidRPr="00A32FF8" w:rsidRDefault="0027059E" w:rsidP="003F19BA">
      <w:pPr>
        <w:rPr>
          <w:lang w:val="en-GB" w:eastAsia="ja-JP"/>
        </w:rPr>
      </w:pPr>
      <w:r w:rsidRPr="00A32FF8">
        <w:rPr>
          <w:lang w:val="en-GB" w:eastAsia="ja-JP"/>
        </w:rPr>
        <w:t xml:space="preserve">In our view, introducing multiple TCI states to facilitate multi-TRP operation using the unified TCI framework is beyond the scope of Rel-17. The agreed DCI indication is tailored for </w:t>
      </w:r>
      <w:r w:rsidR="00A32FF8" w:rsidRPr="00A32FF8">
        <w:rPr>
          <w:lang w:val="en-GB" w:eastAsia="ja-JP"/>
        </w:rPr>
        <w:t>single-beam operation, and it is not trivial to extend the agreed scheme for efficient mTRP operation. Hence we propose</w:t>
      </w:r>
    </w:p>
    <w:p w14:paraId="2F1AC83A" w14:textId="6849914E" w:rsidR="00A32FF8" w:rsidRPr="00A32FF8" w:rsidRDefault="00A32FF8" w:rsidP="00A32FF8">
      <w:pPr>
        <w:pStyle w:val="Proposal"/>
        <w:rPr>
          <w:lang w:val="en-GB" w:eastAsia="ja-JP"/>
        </w:rPr>
      </w:pPr>
      <w:bookmarkStart w:id="14" w:name="_Toc79658930"/>
      <w:r w:rsidRPr="00A32FF8">
        <w:rPr>
          <w:lang w:val="en-GB" w:eastAsia="ja-JP"/>
        </w:rPr>
        <w:t>Do not support mTRP operation, i.e., multiple activated TCI states for PDCCH/PDSCH reception or PUCCH/PUSCH transmission.</w:t>
      </w:r>
      <w:bookmarkEnd w:id="14"/>
    </w:p>
    <w:p w14:paraId="71D3C81D" w14:textId="57B2916E" w:rsidR="00A32FF8" w:rsidRDefault="00A32FF8" w:rsidP="003F19BA">
      <w:pPr>
        <w:rPr>
          <w:lang w:val="en-GB" w:eastAsia="ja-JP"/>
        </w:rPr>
      </w:pPr>
      <w:r w:rsidRPr="00A32FF8">
        <w:rPr>
          <w:lang w:val="en-GB" w:eastAsia="ja-JP"/>
        </w:rPr>
        <w:t xml:space="preserve">On the other hand, it would be beneficial to support reception of CSI-RS using QCL assumptions different from the QCL assumptions of PDCCH/PDSCH. These QCL assumptions would be provided in aperiodic triggering states as in Rel15/16, as mentioned in </w:t>
      </w:r>
      <w:r w:rsidRPr="00D179B8">
        <w:rPr>
          <w:lang w:val="en-GB" w:eastAsia="ja-JP"/>
        </w:rPr>
        <w:t>section 2.1.1:</w:t>
      </w:r>
    </w:p>
    <w:p w14:paraId="7882021F" w14:textId="10056161" w:rsidR="00A32FF8" w:rsidRDefault="00A32FF8" w:rsidP="00A32FF8">
      <w:pPr>
        <w:pStyle w:val="Proposal"/>
        <w:rPr>
          <w:lang w:val="en-GB" w:eastAsia="ja-JP"/>
        </w:rPr>
      </w:pPr>
      <w:bookmarkStart w:id="15" w:name="_Toc79658931"/>
      <w:r>
        <w:rPr>
          <w:lang w:val="en-GB" w:eastAsia="ja-JP"/>
        </w:rPr>
        <w:t xml:space="preserve">It should be possible to provide </w:t>
      </w:r>
      <w:r w:rsidR="00663162">
        <w:rPr>
          <w:lang w:val="en-GB" w:eastAsia="ja-JP"/>
        </w:rPr>
        <w:t>a separate TCI state for measurements on aperiodic CSI-RS.</w:t>
      </w:r>
      <w:bookmarkEnd w:id="15"/>
    </w:p>
    <w:p w14:paraId="397576B8" w14:textId="4D766EE6" w:rsidR="00663162" w:rsidRPr="00A32FF8" w:rsidRDefault="00663162" w:rsidP="00663162">
      <w:pPr>
        <w:pStyle w:val="BodyText"/>
        <w:rPr>
          <w:lang w:val="en-GB" w:eastAsia="ja-JP"/>
        </w:rPr>
      </w:pPr>
      <w:r>
        <w:rPr>
          <w:lang w:val="en-GB" w:eastAsia="ja-JP"/>
        </w:rPr>
        <w:t>It is not clear to us if this means M&gt;1.</w:t>
      </w:r>
    </w:p>
    <w:p w14:paraId="5B02DEFC" w14:textId="174948BC" w:rsidR="00957CF4" w:rsidRDefault="00957CF4" w:rsidP="00957CF4">
      <w:pPr>
        <w:pStyle w:val="Heading3"/>
      </w:pPr>
      <w:r>
        <w:rPr>
          <w:rFonts w:eastAsia="Batang"/>
        </w:rPr>
        <w:t>2.1.</w:t>
      </w:r>
      <w:r w:rsidR="00797F46">
        <w:rPr>
          <w:rFonts w:eastAsia="Batang"/>
        </w:rPr>
        <w:t>4</w:t>
      </w:r>
      <w:r w:rsidR="003C4E59">
        <w:rPr>
          <w:rFonts w:eastAsia="Batang"/>
        </w:rPr>
        <w:tab/>
      </w:r>
      <w:r>
        <w:t>On TCI state pools</w:t>
      </w:r>
    </w:p>
    <w:p w14:paraId="11EEFD02" w14:textId="77777777" w:rsidR="00957CF4" w:rsidRDefault="00957CF4" w:rsidP="00957CF4">
      <w:pPr>
        <w:pStyle w:val="BodyText"/>
        <w:rPr>
          <w:lang w:eastAsia="ja-JP"/>
        </w:rPr>
      </w:pPr>
      <w:r w:rsidRPr="00B25BEA">
        <w:t xml:space="preserve">It is important </w:t>
      </w:r>
      <w:r>
        <w:t xml:space="preserve">to remember </w:t>
      </w:r>
      <w:r w:rsidRPr="00B25BEA">
        <w:t xml:space="preserve">that common beam operation is </w:t>
      </w:r>
      <w:r>
        <w:t xml:space="preserve">more common and need to be </w:t>
      </w:r>
      <w:r w:rsidRPr="00B25BEA">
        <w:t>efficiently supported also across UL and DL. The configuration and application of the UL TCI is an add-on that can be configured if needed</w:t>
      </w:r>
      <w:r>
        <w:t>. Furthermore, i</w:t>
      </w:r>
      <w:r>
        <w:rPr>
          <w:lang w:eastAsia="ja-JP"/>
        </w:rPr>
        <w:t>t is most likely that UL TCI is an optional UE capability. If the pool of UL TCI states is separate from the DL TCI states, the mapping between UE capability and RRC configuration will be quite straightforward: a UE that supports UL TCI can be configured with a pool of UL TCI states. If the pool is common between UL and DL TCI states, the mapping between UE capability and RRC configuration is far more complex.</w:t>
      </w:r>
    </w:p>
    <w:p w14:paraId="186D011B" w14:textId="77777777" w:rsidR="00957CF4" w:rsidRPr="00AE2091" w:rsidRDefault="00957CF4" w:rsidP="00957CF4">
      <w:pPr>
        <w:pStyle w:val="Observation"/>
        <w:snapToGrid/>
        <w:jc w:val="both"/>
        <w:rPr>
          <w:lang w:eastAsia="zh-CN"/>
        </w:rPr>
      </w:pPr>
      <w:bookmarkStart w:id="16" w:name="_Toc61889341"/>
      <w:bookmarkStart w:id="17" w:name="_Toc79658914"/>
      <w:r>
        <w:t>If the UL TCI states is taken from a separate pool of TCI states, the mapping between UE capability and RRC configuration is very straightforward.</w:t>
      </w:r>
      <w:bookmarkEnd w:id="16"/>
      <w:bookmarkEnd w:id="17"/>
      <w:r>
        <w:t xml:space="preserve">  </w:t>
      </w:r>
    </w:p>
    <w:p w14:paraId="28D0384F" w14:textId="77777777" w:rsidR="00957CF4" w:rsidRDefault="00957CF4" w:rsidP="00957CF4">
      <w:pPr>
        <w:rPr>
          <w:lang w:val="en-GB" w:eastAsia="ja-JP"/>
        </w:rPr>
      </w:pPr>
      <w:r>
        <w:rPr>
          <w:lang w:val="en-GB" w:eastAsia="ja-JP"/>
        </w:rPr>
        <w:t>Furthermore, since an UL TCI state will be readily applicable across CCs for intra-band CA, it would become easier to reduce the RRC signalling overhead.</w:t>
      </w:r>
    </w:p>
    <w:p w14:paraId="570CFDD3" w14:textId="77777777" w:rsidR="00957CF4" w:rsidRDefault="00957CF4" w:rsidP="00957CF4">
      <w:pPr>
        <w:rPr>
          <w:lang w:val="en-GB" w:eastAsia="ja-JP"/>
        </w:rPr>
      </w:pPr>
      <w:r>
        <w:rPr>
          <w:lang w:val="en-GB" w:eastAsia="ja-JP"/>
        </w:rPr>
        <w:t>Last but not least, the structure in RRC becomes cleaner if a separate pool is defined. Based on the above arguments, we propose</w:t>
      </w:r>
    </w:p>
    <w:p w14:paraId="28725A4D" w14:textId="77777777" w:rsidR="00957CF4" w:rsidRPr="003D6BC1" w:rsidRDefault="00957CF4" w:rsidP="00957CF4">
      <w:pPr>
        <w:pStyle w:val="Proposal"/>
        <w:snapToGrid/>
        <w:jc w:val="both"/>
        <w:rPr>
          <w:lang w:val="en-GB"/>
        </w:rPr>
      </w:pPr>
      <w:bookmarkStart w:id="18" w:name="_Toc61889358"/>
      <w:bookmarkStart w:id="19" w:name="_Toc79658932"/>
      <w:r w:rsidRPr="00985039">
        <w:rPr>
          <w:lang w:val="en-GB"/>
        </w:rPr>
        <w:t>The UL TCI state is taken from another pool of TCI states than the DL TCI state</w:t>
      </w:r>
      <w:r>
        <w:rPr>
          <w:lang w:val="en-GB"/>
        </w:rPr>
        <w:t>.</w:t>
      </w:r>
      <w:bookmarkEnd w:id="18"/>
      <w:bookmarkEnd w:id="19"/>
      <w:r>
        <w:rPr>
          <w:lang w:val="en-GB"/>
        </w:rPr>
        <w:t xml:space="preserve"> </w:t>
      </w:r>
    </w:p>
    <w:p w14:paraId="45FEFCDC" w14:textId="5231BA29" w:rsidR="00957CF4" w:rsidRDefault="00957CF4" w:rsidP="00957CF4">
      <w:pPr>
        <w:rPr>
          <w:lang w:val="en-GB"/>
        </w:rPr>
      </w:pPr>
      <w:r>
        <w:rPr>
          <w:lang w:val="en-GB"/>
        </w:rPr>
        <w:t>However, the aspects discussed here are more in the RAN2 domain. One option would be to simply indicate to RAN2 what properties need to be defined for an UL TCI state, and let RAN2 design the actual signalling.</w:t>
      </w:r>
    </w:p>
    <w:p w14:paraId="58BF88DD" w14:textId="3B388C47" w:rsidR="00A466AA" w:rsidRDefault="00A466AA" w:rsidP="00957CF4">
      <w:pPr>
        <w:rPr>
          <w:lang w:val="en-GB"/>
        </w:rPr>
      </w:pPr>
      <w:r>
        <w:rPr>
          <w:lang w:val="en-GB"/>
        </w:rPr>
        <w:t>In RAN1#105-e, the following working assumption was made:</w:t>
      </w:r>
    </w:p>
    <w:p w14:paraId="2762EECE" w14:textId="77777777" w:rsidR="00A466AA" w:rsidRPr="00450C2D" w:rsidRDefault="00A466AA" w:rsidP="00A466AA">
      <w:pPr>
        <w:pStyle w:val="BodyText"/>
      </w:pPr>
      <w:r w:rsidRPr="00450C2D">
        <w:rPr>
          <w:noProof/>
        </w:rPr>
        <w:lastRenderedPageBreak/>
        <mc:AlternateContent>
          <mc:Choice Requires="wps">
            <w:drawing>
              <wp:inline distT="0" distB="0" distL="0" distR="0" wp14:anchorId="19701042" wp14:editId="7B2C6906">
                <wp:extent cx="6146359" cy="771276"/>
                <wp:effectExtent l="0" t="0" r="26035" b="24765"/>
                <wp:docPr id="15" name="Text Box 15"/>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06BED447" w14:textId="77777777" w:rsidR="00E376B5" w:rsidRPr="007A4B66" w:rsidRDefault="00E376B5" w:rsidP="00A466AA">
                            <w:pPr>
                              <w:snapToGrid w:val="0"/>
                              <w:jc w:val="both"/>
                              <w:rPr>
                                <w:rFonts w:ascii="Times New Roman" w:eastAsia="Malgun Gothic" w:hAnsi="Times New Roman" w:cs="Times New Roman"/>
                                <w:b/>
                                <w:bCs/>
                                <w:szCs w:val="20"/>
                                <w:highlight w:val="darkYellow"/>
                              </w:rPr>
                            </w:pPr>
                            <w:r w:rsidRPr="007A4B66">
                              <w:rPr>
                                <w:rFonts w:ascii="Times New Roman" w:eastAsia="Malgun Gothic" w:hAnsi="Times New Roman" w:cs="Times New Roman"/>
                                <w:b/>
                                <w:bCs/>
                                <w:szCs w:val="20"/>
                                <w:highlight w:val="darkYellow"/>
                              </w:rPr>
                              <w:t xml:space="preserve">Working Assumption </w:t>
                            </w:r>
                          </w:p>
                          <w:p w14:paraId="61E26741" w14:textId="77777777" w:rsidR="00E376B5" w:rsidRPr="007A4B66" w:rsidRDefault="00E376B5" w:rsidP="00A466AA">
                            <w:pPr>
                              <w:snapToGrid w:val="0"/>
                              <w:jc w:val="both"/>
                              <w:rPr>
                                <w:rFonts w:ascii="Times New Roman" w:eastAsia="Malgun Gothic" w:hAnsi="Times New Roman" w:cs="Times New Roman"/>
                                <w:szCs w:val="20"/>
                              </w:rPr>
                            </w:pPr>
                            <w:r w:rsidRPr="007A4B66">
                              <w:rPr>
                                <w:rFonts w:ascii="Times New Roman" w:eastAsia="Malgun Gothic" w:hAnsi="Times New Roman" w:cs="Times New Roman"/>
                                <w:szCs w:val="20"/>
                              </w:rPr>
                              <w:t xml:space="preserve">For common TCI state ID update and activation to provide common QCL information </w:t>
                            </w:r>
                            <w:r w:rsidRPr="007A4B66">
                              <w:rPr>
                                <w:rFonts w:ascii="Times New Roman" w:eastAsia="Malgun Gothic" w:hAnsi="Times New Roman" w:cs="Times New Roman"/>
                                <w:szCs w:val="20"/>
                                <w:lang w:eastAsia="ja-JP"/>
                              </w:rPr>
                              <w:t xml:space="preserve">at least for UE-dedicated PDCCH/PDSCH </w:t>
                            </w:r>
                            <w:r w:rsidRPr="007A4B66">
                              <w:rPr>
                                <w:rFonts w:ascii="Times New Roman" w:eastAsia="Malgun Gothic" w:hAnsi="Times New Roman" w:cs="Times New Roman"/>
                                <w:szCs w:val="20"/>
                              </w:rPr>
                              <w:t xml:space="preserve">and/or common UL TX spatial filter(s) </w:t>
                            </w:r>
                            <w:r w:rsidRPr="007A4B66">
                              <w:rPr>
                                <w:rFonts w:ascii="Times New Roman" w:eastAsia="Malgun Gothic" w:hAnsi="Times New Roman" w:cs="Times New Roman"/>
                                <w:szCs w:val="20"/>
                                <w:lang w:eastAsia="ja-JP"/>
                              </w:rPr>
                              <w:t xml:space="preserve">at least for UE-dedicated PUSCH/PUCCH </w:t>
                            </w:r>
                            <w:r w:rsidRPr="007A4B66">
                              <w:rPr>
                                <w:rFonts w:ascii="Times New Roman" w:eastAsia="Malgun Gothic" w:hAnsi="Times New Roman" w:cs="Times New Roman"/>
                                <w:szCs w:val="20"/>
                              </w:rPr>
                              <w:t xml:space="preserve">across a set of [configured] CCs/BWPs: </w:t>
                            </w:r>
                          </w:p>
                          <w:p w14:paraId="45A0230C" w14:textId="77777777" w:rsidR="00E376B5" w:rsidRPr="007A4B66" w:rsidRDefault="00E376B5"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RRC-configured TCI state pool(s) can be configured 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for each BWP /CC as in Rel-15/16</w:t>
                            </w:r>
                          </w:p>
                          <w:p w14:paraId="2B6D558F" w14:textId="77777777" w:rsidR="00E376B5" w:rsidRPr="007A4B66" w:rsidRDefault="00E376B5" w:rsidP="00C4412A">
                            <w:pPr>
                              <w:numPr>
                                <w:ilvl w:val="1"/>
                                <w:numId w:val="21"/>
                              </w:numPr>
                              <w:snapToGrid w:val="0"/>
                              <w:spacing w:after="0" w:line="240" w:lineRule="auto"/>
                              <w:jc w:val="both"/>
                              <w:rPr>
                                <w:rFonts w:ascii="Times New Roman" w:eastAsia="Malgun Gothic" w:hAnsi="Times New Roman" w:cs="Times New Roman"/>
                                <w:szCs w:val="20"/>
                              </w:rPr>
                            </w:pPr>
                            <w:r w:rsidRPr="007A4B66">
                              <w:rPr>
                                <w:rFonts w:ascii="Times New Roman" w:hAnsi="Times New Roman" w:cs="Times New Roman"/>
                                <w:szCs w:val="20"/>
                                <w:lang w:eastAsia="zh-CN"/>
                              </w:rPr>
                              <w:t xml:space="preserve">Note: Such </w:t>
                            </w:r>
                            <w:r w:rsidRPr="007A4B66">
                              <w:rPr>
                                <w:rFonts w:ascii="Times New Roman" w:eastAsia="Malgun Gothic" w:hAnsi="Times New Roman" w:cs="Times New Roman"/>
                                <w:szCs w:val="20"/>
                              </w:rPr>
                              <w:t>RRC-configured</w:t>
                            </w:r>
                            <w:r w:rsidRPr="007A4B66">
                              <w:rPr>
                                <w:rFonts w:ascii="Times New Roman" w:hAnsi="Times New Roman" w:cs="Times New Roman"/>
                                <w:szCs w:val="20"/>
                                <w:lang w:eastAsia="zh-CN"/>
                              </w:rPr>
                              <w:t xml:space="preserve"> TCI state pool(s) configuration doesn’t imply that separate DL/UL TCI state pool is excluded or supported</w:t>
                            </w:r>
                          </w:p>
                          <w:p w14:paraId="1C780C65" w14:textId="77777777" w:rsidR="00E376B5" w:rsidRPr="007A4B66" w:rsidRDefault="00E376B5"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RRC-configured TCI state pool(s) can be absent 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for each BWP/CC, and replaced with a reference to RRC-configured TCI state pool(s) in a reference BWP/CC</w:t>
                            </w:r>
                          </w:p>
                          <w:p w14:paraId="44803012" w14:textId="77777777" w:rsidR="00E376B5" w:rsidRPr="007A4B66" w:rsidRDefault="00E376B5" w:rsidP="00C4412A">
                            <w:pPr>
                              <w:numPr>
                                <w:ilvl w:val="1"/>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of the reference BWP/CC, RRC-configured TCI state pool(s) shall be configured</w:t>
                            </w:r>
                          </w:p>
                          <w:p w14:paraId="04C0F0EB" w14:textId="77777777" w:rsidR="00E376B5" w:rsidRPr="007A4B66" w:rsidRDefault="00E376B5" w:rsidP="00C4412A">
                            <w:pPr>
                              <w:numPr>
                                <w:ilvl w:val="1"/>
                                <w:numId w:val="21"/>
                              </w:numPr>
                              <w:tabs>
                                <w:tab w:val="num" w:pos="1440"/>
                              </w:tabs>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For a BWP/CC where the PDSCH configuration contains a reference to the RRC-configured TCI state pool(s) in a reference BWP/CC, the UE applies the RRC-configured TCI state pool(s) in the reference BWP/CC</w:t>
                            </w:r>
                          </w:p>
                          <w:p w14:paraId="78E71AB2" w14:textId="77777777" w:rsidR="00E376B5" w:rsidRPr="007A4B66" w:rsidRDefault="00E376B5"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hAnsi="Times New Roman" w:cs="Times New Roman"/>
                                <w:szCs w:val="20"/>
                              </w:rPr>
                              <w:t>When the BWP/CC ID (</w:t>
                            </w:r>
                            <w:r w:rsidRPr="007A4B66">
                              <w:rPr>
                                <w:rFonts w:ascii="Times New Roman" w:hAnsi="Times New Roman" w:cs="Times New Roman"/>
                                <w:i/>
                                <w:iCs/>
                                <w:szCs w:val="20"/>
                              </w:rPr>
                              <w:t>cell</w:t>
                            </w:r>
                            <w:r w:rsidRPr="007A4B66">
                              <w:rPr>
                                <w:rFonts w:ascii="Times New Roman" w:hAnsi="Times New Roman" w:cs="Times New Roman"/>
                                <w:szCs w:val="20"/>
                              </w:rPr>
                              <w:t>) for QCL-Type A/D source RS in a </w:t>
                            </w:r>
                            <w:r w:rsidRPr="007A4B66">
                              <w:rPr>
                                <w:rFonts w:ascii="Times New Roman" w:hAnsi="Times New Roman" w:cs="Times New Roman"/>
                                <w:i/>
                                <w:iCs/>
                                <w:szCs w:val="20"/>
                              </w:rPr>
                              <w:t>QCL-Info</w:t>
                            </w:r>
                            <w:r w:rsidRPr="007A4B66">
                              <w:rPr>
                                <w:rFonts w:ascii="Times New Roman" w:hAnsi="Times New Roman" w:cs="Times New Roman"/>
                                <w:szCs w:val="20"/>
                              </w:rPr>
                              <w:t> of the TCI state is absent, the UE assumes that QCL-Type A/D source RS is in the BWP/CC to which the TCI state applies</w:t>
                            </w:r>
                          </w:p>
                          <w:p w14:paraId="54F808C3" w14:textId="77777777" w:rsidR="00E376B5" w:rsidRPr="007A4B66" w:rsidRDefault="00E376B5"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Introduce a UE capability to report maximum number of TCI state pools it can support across BWPs and CCs in a band, and the candidate value at least includes 1</w:t>
                            </w:r>
                          </w:p>
                          <w:p w14:paraId="4A750279" w14:textId="77777777" w:rsidR="00E376B5" w:rsidRPr="007A4B66" w:rsidRDefault="00E376B5"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FFS: Introduce a UE capability to report maximum number of configured TCI states that it can support across BWPs and CCs in a band</w:t>
                            </w:r>
                          </w:p>
                          <w:p w14:paraId="5923FE90" w14:textId="2A1DED18" w:rsidR="00E376B5" w:rsidRPr="00A466AA" w:rsidRDefault="00E376B5"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FFS: How to define reference BWP/CC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9701042" id="Text Box 15" o:spid="_x0000_s1032"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" fillcolor="white [3201]" strokeweight=".5pt">
                <v:textbox style="mso-fit-shape-to-text:t">
                  <w:txbxContent>
                    <w:p w14:paraId="06BED447" w14:textId="77777777" w:rsidR="00E376B5" w:rsidRPr="007A4B66" w:rsidRDefault="00E376B5" w:rsidP="00A466AA">
                      <w:pPr>
                        <w:snapToGrid w:val="0"/>
                        <w:jc w:val="both"/>
                        <w:rPr>
                          <w:rFonts w:ascii="Times New Roman" w:eastAsia="Malgun Gothic" w:hAnsi="Times New Roman" w:cs="Times New Roman"/>
                          <w:b/>
                          <w:bCs/>
                          <w:szCs w:val="20"/>
                          <w:highlight w:val="darkYellow"/>
                        </w:rPr>
                      </w:pPr>
                      <w:r w:rsidRPr="007A4B66">
                        <w:rPr>
                          <w:rFonts w:ascii="Times New Roman" w:eastAsia="Malgun Gothic" w:hAnsi="Times New Roman" w:cs="Times New Roman"/>
                          <w:b/>
                          <w:bCs/>
                          <w:szCs w:val="20"/>
                          <w:highlight w:val="darkYellow"/>
                        </w:rPr>
                        <w:t xml:space="preserve">Working Assumption </w:t>
                      </w:r>
                    </w:p>
                    <w:p w14:paraId="61E26741" w14:textId="77777777" w:rsidR="00E376B5" w:rsidRPr="007A4B66" w:rsidRDefault="00E376B5" w:rsidP="00A466AA">
                      <w:pPr>
                        <w:snapToGrid w:val="0"/>
                        <w:jc w:val="both"/>
                        <w:rPr>
                          <w:rFonts w:ascii="Times New Roman" w:eastAsia="Malgun Gothic" w:hAnsi="Times New Roman" w:cs="Times New Roman"/>
                          <w:szCs w:val="20"/>
                        </w:rPr>
                      </w:pPr>
                      <w:r w:rsidRPr="007A4B66">
                        <w:rPr>
                          <w:rFonts w:ascii="Times New Roman" w:eastAsia="Malgun Gothic" w:hAnsi="Times New Roman" w:cs="Times New Roman"/>
                          <w:szCs w:val="20"/>
                        </w:rPr>
                        <w:t xml:space="preserve">For common TCI state ID update and activation to provide common QCL information </w:t>
                      </w:r>
                      <w:r w:rsidRPr="007A4B66">
                        <w:rPr>
                          <w:rFonts w:ascii="Times New Roman" w:eastAsia="Malgun Gothic" w:hAnsi="Times New Roman" w:cs="Times New Roman"/>
                          <w:szCs w:val="20"/>
                          <w:lang w:eastAsia="ja-JP"/>
                        </w:rPr>
                        <w:t xml:space="preserve">at least for UE-dedicated PDCCH/PDSCH </w:t>
                      </w:r>
                      <w:r w:rsidRPr="007A4B66">
                        <w:rPr>
                          <w:rFonts w:ascii="Times New Roman" w:eastAsia="Malgun Gothic" w:hAnsi="Times New Roman" w:cs="Times New Roman"/>
                          <w:szCs w:val="20"/>
                        </w:rPr>
                        <w:t xml:space="preserve">and/or common UL TX spatial filter(s) </w:t>
                      </w:r>
                      <w:r w:rsidRPr="007A4B66">
                        <w:rPr>
                          <w:rFonts w:ascii="Times New Roman" w:eastAsia="Malgun Gothic" w:hAnsi="Times New Roman" w:cs="Times New Roman"/>
                          <w:szCs w:val="20"/>
                          <w:lang w:eastAsia="ja-JP"/>
                        </w:rPr>
                        <w:t xml:space="preserve">at least for UE-dedicated PUSCH/PUCCH </w:t>
                      </w:r>
                      <w:r w:rsidRPr="007A4B66">
                        <w:rPr>
                          <w:rFonts w:ascii="Times New Roman" w:eastAsia="Malgun Gothic" w:hAnsi="Times New Roman" w:cs="Times New Roman"/>
                          <w:szCs w:val="20"/>
                        </w:rPr>
                        <w:t xml:space="preserve">across a set of [configured] CCs/BWPs: </w:t>
                      </w:r>
                    </w:p>
                    <w:p w14:paraId="45A0230C" w14:textId="77777777" w:rsidR="00E376B5" w:rsidRPr="007A4B66" w:rsidRDefault="00E376B5"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RRC-configured TCI state pool(s) can be configured 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for each BWP /CC as in Rel-15/16</w:t>
                      </w:r>
                    </w:p>
                    <w:p w14:paraId="2B6D558F" w14:textId="77777777" w:rsidR="00E376B5" w:rsidRPr="007A4B66" w:rsidRDefault="00E376B5" w:rsidP="00C4412A">
                      <w:pPr>
                        <w:numPr>
                          <w:ilvl w:val="1"/>
                          <w:numId w:val="21"/>
                        </w:numPr>
                        <w:snapToGrid w:val="0"/>
                        <w:spacing w:after="0" w:line="240" w:lineRule="auto"/>
                        <w:jc w:val="both"/>
                        <w:rPr>
                          <w:rFonts w:ascii="Times New Roman" w:eastAsia="Malgun Gothic" w:hAnsi="Times New Roman" w:cs="Times New Roman"/>
                          <w:szCs w:val="20"/>
                        </w:rPr>
                      </w:pPr>
                      <w:r w:rsidRPr="007A4B66">
                        <w:rPr>
                          <w:rFonts w:ascii="Times New Roman" w:hAnsi="Times New Roman" w:cs="Times New Roman"/>
                          <w:szCs w:val="20"/>
                          <w:lang w:eastAsia="zh-CN"/>
                        </w:rPr>
                        <w:t xml:space="preserve">Note: Such </w:t>
                      </w:r>
                      <w:r w:rsidRPr="007A4B66">
                        <w:rPr>
                          <w:rFonts w:ascii="Times New Roman" w:eastAsia="Malgun Gothic" w:hAnsi="Times New Roman" w:cs="Times New Roman"/>
                          <w:szCs w:val="20"/>
                        </w:rPr>
                        <w:t>RRC-configured</w:t>
                      </w:r>
                      <w:r w:rsidRPr="007A4B66">
                        <w:rPr>
                          <w:rFonts w:ascii="Times New Roman" w:hAnsi="Times New Roman" w:cs="Times New Roman"/>
                          <w:szCs w:val="20"/>
                          <w:lang w:eastAsia="zh-CN"/>
                        </w:rPr>
                        <w:t xml:space="preserve"> TCI state pool(s) configuration doesn’t imply that separate DL/UL TCI state pool is excluded or supported</w:t>
                      </w:r>
                    </w:p>
                    <w:p w14:paraId="1C780C65" w14:textId="77777777" w:rsidR="00E376B5" w:rsidRPr="007A4B66" w:rsidRDefault="00E376B5"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RRC-configured TCI state pool(s) can be absent 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for each BWP/CC, and replaced with a reference to RRC-configured TCI state pool(s) in a reference BWP/CC</w:t>
                      </w:r>
                    </w:p>
                    <w:p w14:paraId="44803012" w14:textId="77777777" w:rsidR="00E376B5" w:rsidRPr="007A4B66" w:rsidRDefault="00E376B5" w:rsidP="00C4412A">
                      <w:pPr>
                        <w:numPr>
                          <w:ilvl w:val="1"/>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of the reference BWP/CC, RRC-configured TCI state pool(s) shall be configured</w:t>
                      </w:r>
                    </w:p>
                    <w:p w14:paraId="04C0F0EB" w14:textId="77777777" w:rsidR="00E376B5" w:rsidRPr="007A4B66" w:rsidRDefault="00E376B5" w:rsidP="00C4412A">
                      <w:pPr>
                        <w:numPr>
                          <w:ilvl w:val="1"/>
                          <w:numId w:val="21"/>
                        </w:numPr>
                        <w:tabs>
                          <w:tab w:val="num" w:pos="1440"/>
                        </w:tabs>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For a BWP/CC where the PDSCH configuration contains a reference to the RRC-configured TCI state pool(s) in a reference BWP/CC, the UE applies the RRC-configured TCI state pool(s) in the reference BWP/CC</w:t>
                      </w:r>
                    </w:p>
                    <w:p w14:paraId="78E71AB2" w14:textId="77777777" w:rsidR="00E376B5" w:rsidRPr="007A4B66" w:rsidRDefault="00E376B5"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hAnsi="Times New Roman" w:cs="Times New Roman"/>
                          <w:szCs w:val="20"/>
                        </w:rPr>
                        <w:t>When the BWP/CC ID (</w:t>
                      </w:r>
                      <w:r w:rsidRPr="007A4B66">
                        <w:rPr>
                          <w:rFonts w:ascii="Times New Roman" w:hAnsi="Times New Roman" w:cs="Times New Roman"/>
                          <w:i/>
                          <w:iCs/>
                          <w:szCs w:val="20"/>
                        </w:rPr>
                        <w:t>cell</w:t>
                      </w:r>
                      <w:r w:rsidRPr="007A4B66">
                        <w:rPr>
                          <w:rFonts w:ascii="Times New Roman" w:hAnsi="Times New Roman" w:cs="Times New Roman"/>
                          <w:szCs w:val="20"/>
                        </w:rPr>
                        <w:t>) for QCL-Type A/D source RS in a </w:t>
                      </w:r>
                      <w:r w:rsidRPr="007A4B66">
                        <w:rPr>
                          <w:rFonts w:ascii="Times New Roman" w:hAnsi="Times New Roman" w:cs="Times New Roman"/>
                          <w:i/>
                          <w:iCs/>
                          <w:szCs w:val="20"/>
                        </w:rPr>
                        <w:t>QCL-Info</w:t>
                      </w:r>
                      <w:r w:rsidRPr="007A4B66">
                        <w:rPr>
                          <w:rFonts w:ascii="Times New Roman" w:hAnsi="Times New Roman" w:cs="Times New Roman"/>
                          <w:szCs w:val="20"/>
                        </w:rPr>
                        <w:t> of the TCI state is absent, the UE assumes that QCL-Type A/D source RS is in the BWP/CC to which the TCI state applies</w:t>
                      </w:r>
                    </w:p>
                    <w:p w14:paraId="54F808C3" w14:textId="77777777" w:rsidR="00E376B5" w:rsidRPr="007A4B66" w:rsidRDefault="00E376B5"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Introduce a UE capability to report maximum number of TCI state pools it can support across BWPs and CCs in a band, and the candidate value at least includes 1</w:t>
                      </w:r>
                    </w:p>
                    <w:p w14:paraId="4A750279" w14:textId="77777777" w:rsidR="00E376B5" w:rsidRPr="007A4B66" w:rsidRDefault="00E376B5"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FFS: Introduce a UE capability to report maximum number of configured TCI states that it can support across BWPs and CCs in a band</w:t>
                      </w:r>
                    </w:p>
                    <w:p w14:paraId="5923FE90" w14:textId="2A1DED18" w:rsidR="00E376B5" w:rsidRPr="00A466AA" w:rsidRDefault="00E376B5"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FFS: How to define reference BWP/CC</w:t>
                      </w:r>
                    </w:p>
                  </w:txbxContent>
                </v:textbox>
                <w10:anchorlock/>
              </v:shape>
            </w:pict>
          </mc:Fallback>
        </mc:AlternateContent>
      </w:r>
      <w:r w:rsidRPr="00450C2D">
        <w:rPr>
          <w:lang w:val="en-GB" w:eastAsia="ja-JP"/>
        </w:rPr>
        <w:t xml:space="preserve"> </w:t>
      </w:r>
    </w:p>
    <w:p w14:paraId="036A63D4" w14:textId="25166E93" w:rsidR="00A466AA" w:rsidRDefault="00A466AA" w:rsidP="00957CF4">
      <w:pPr>
        <w:rPr>
          <w:lang w:val="en-GB"/>
        </w:rPr>
      </w:pPr>
      <w:r>
        <w:rPr>
          <w:lang w:val="en-GB"/>
        </w:rPr>
        <w:t xml:space="preserve">The intent of the working assumption is to reduce the signaling related to TCI state configuration for CA: rather than including the full list of TCI states in the PDSCH configuration for every CC, the NW can replace the full list with a pointer to another CC. The UE would then use the TCI states in the PDSCH configuration of the other carrier. </w:t>
      </w:r>
      <w:r w:rsidR="005A1F19">
        <w:rPr>
          <w:lang w:val="en-GB"/>
        </w:rPr>
        <w:t>From a NW point of view, it is very relevant to reduce the size of the RRC reconfiguration message, where the TCI states may be a significant part.</w:t>
      </w:r>
    </w:p>
    <w:p w14:paraId="632AC082" w14:textId="77777777" w:rsidR="005A1F19" w:rsidRDefault="00C701B9" w:rsidP="00957CF4">
      <w:pPr>
        <w:rPr>
          <w:lang w:val="en-GB"/>
        </w:rPr>
      </w:pPr>
      <w:r>
        <w:rPr>
          <w:lang w:val="en-GB"/>
        </w:rPr>
        <w:t xml:space="preserve">The WA contains one FFS on the definition </w:t>
      </w:r>
      <w:r w:rsidR="005A1F19">
        <w:rPr>
          <w:lang w:val="en-GB"/>
        </w:rPr>
        <w:t>of a reference BWP/CC. We think this definition is simple:</w:t>
      </w:r>
    </w:p>
    <w:p w14:paraId="32A42614" w14:textId="0D2E6FCE" w:rsidR="005A1F19" w:rsidRPr="005A1F19" w:rsidRDefault="005A1F19" w:rsidP="00957CF4">
      <w:pPr>
        <w:pStyle w:val="Proposal"/>
        <w:snapToGrid/>
        <w:jc w:val="both"/>
        <w:rPr>
          <w:lang w:val="en-GB"/>
        </w:rPr>
      </w:pPr>
      <w:bookmarkStart w:id="20" w:name="_Toc79658933"/>
      <w:r>
        <w:rPr>
          <w:lang w:val="en-GB"/>
        </w:rPr>
        <w:t>A reference BWP/CC is a BW</w:t>
      </w:r>
      <w:r w:rsidR="00776C0E">
        <w:rPr>
          <w:lang w:val="en-GB"/>
        </w:rPr>
        <w:t>P</w:t>
      </w:r>
      <w:r>
        <w:rPr>
          <w:lang w:val="en-GB"/>
        </w:rPr>
        <w:t xml:space="preserve">/CC where the PDSCH-Config contains a list of TCI states, created using </w:t>
      </w:r>
      <w:r w:rsidRPr="005A1F19">
        <w:rPr>
          <w:lang w:val="en-GB"/>
        </w:rPr>
        <w:t>tci-StatesToAddModList</w:t>
      </w:r>
      <w:r>
        <w:rPr>
          <w:lang w:val="en-GB"/>
        </w:rPr>
        <w:t>.</w:t>
      </w:r>
      <w:bookmarkEnd w:id="20"/>
    </w:p>
    <w:p w14:paraId="08B3BA24" w14:textId="391FD3C3" w:rsidR="00EE27D8" w:rsidRDefault="005A1F19" w:rsidP="00957CF4">
      <w:pPr>
        <w:rPr>
          <w:lang w:val="en-GB"/>
        </w:rPr>
      </w:pPr>
      <w:r>
        <w:rPr>
          <w:lang w:val="en-GB"/>
        </w:rPr>
        <w:t>The WA also contains two bullets on UE capabilities. UE capabilities are introduced to limit the UE complexity.</w:t>
      </w:r>
      <w:r w:rsidR="00776C0E">
        <w:rPr>
          <w:lang w:val="en-GB"/>
        </w:rPr>
        <w:t xml:space="preserve"> The NW can only configure functionality that a certain UE support</w:t>
      </w:r>
      <w:r w:rsidR="005536EC">
        <w:rPr>
          <w:lang w:val="en-GB"/>
        </w:rPr>
        <w:t>s</w:t>
      </w:r>
      <w:r w:rsidR="00776C0E">
        <w:rPr>
          <w:lang w:val="en-GB"/>
        </w:rPr>
        <w:t xml:space="preserve">. </w:t>
      </w:r>
      <w:r w:rsidR="00CD4058">
        <w:rPr>
          <w:lang w:val="en-GB"/>
        </w:rPr>
        <w:t xml:space="preserve">These two proposals would seem to be two different alternatives: both capabilities should not be introduced. Here we prefer to keep the UE capability on the number of pools, and not introduce any capability on the total number of TCI states across all CCs. </w:t>
      </w:r>
      <w:r w:rsidR="00EE27D8">
        <w:rPr>
          <w:lang w:val="en-GB"/>
        </w:rPr>
        <w:t>Therefore, we propose to confirm the WA with the following modifications:</w:t>
      </w:r>
    </w:p>
    <w:p w14:paraId="26433457" w14:textId="3DADBF4D" w:rsidR="00C701B9" w:rsidRPr="00C701B9" w:rsidRDefault="00EE27D8" w:rsidP="00CD4058">
      <w:pPr>
        <w:pStyle w:val="BodyText"/>
      </w:pPr>
      <w:r w:rsidRPr="00450C2D">
        <w:rPr>
          <w:noProof/>
        </w:rPr>
        <w:lastRenderedPageBreak/>
        <mc:AlternateContent>
          <mc:Choice Requires="wps">
            <w:drawing>
              <wp:inline distT="0" distB="0" distL="0" distR="0" wp14:anchorId="0898D276" wp14:editId="69CEBF39">
                <wp:extent cx="6146359" cy="771276"/>
                <wp:effectExtent l="0" t="0" r="26035" b="24765"/>
                <wp:docPr id="16" name="Text Box 16"/>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2A5806BE" w14:textId="77777777" w:rsidR="00E376B5" w:rsidRPr="007A4B66" w:rsidRDefault="00E376B5" w:rsidP="00EE27D8">
                            <w:pPr>
                              <w:snapToGrid w:val="0"/>
                              <w:jc w:val="both"/>
                              <w:rPr>
                                <w:rFonts w:ascii="Times New Roman" w:eastAsia="Malgun Gothic" w:hAnsi="Times New Roman" w:cs="Times New Roman"/>
                                <w:szCs w:val="20"/>
                              </w:rPr>
                            </w:pPr>
                            <w:r w:rsidRPr="007A4B66">
                              <w:rPr>
                                <w:rFonts w:ascii="Times New Roman" w:eastAsia="Malgun Gothic" w:hAnsi="Times New Roman" w:cs="Times New Roman"/>
                                <w:szCs w:val="20"/>
                              </w:rPr>
                              <w:t xml:space="preserve">For common TCI state ID update and activation to provide common QCL information </w:t>
                            </w:r>
                            <w:r w:rsidRPr="007A4B66">
                              <w:rPr>
                                <w:rFonts w:ascii="Times New Roman" w:eastAsia="Malgun Gothic" w:hAnsi="Times New Roman" w:cs="Times New Roman"/>
                                <w:szCs w:val="20"/>
                                <w:lang w:eastAsia="ja-JP"/>
                              </w:rPr>
                              <w:t xml:space="preserve">at least for UE-dedicated PDCCH/PDSCH </w:t>
                            </w:r>
                            <w:r w:rsidRPr="007A4B66">
                              <w:rPr>
                                <w:rFonts w:ascii="Times New Roman" w:eastAsia="Malgun Gothic" w:hAnsi="Times New Roman" w:cs="Times New Roman"/>
                                <w:szCs w:val="20"/>
                              </w:rPr>
                              <w:t xml:space="preserve">and/or common UL TX spatial filter(s) </w:t>
                            </w:r>
                            <w:r w:rsidRPr="007A4B66">
                              <w:rPr>
                                <w:rFonts w:ascii="Times New Roman" w:eastAsia="Malgun Gothic" w:hAnsi="Times New Roman" w:cs="Times New Roman"/>
                                <w:szCs w:val="20"/>
                                <w:lang w:eastAsia="ja-JP"/>
                              </w:rPr>
                              <w:t xml:space="preserve">at least for UE-dedicated PUSCH/PUCCH </w:t>
                            </w:r>
                            <w:r w:rsidRPr="007A4B66">
                              <w:rPr>
                                <w:rFonts w:ascii="Times New Roman" w:eastAsia="Malgun Gothic" w:hAnsi="Times New Roman" w:cs="Times New Roman"/>
                                <w:szCs w:val="20"/>
                              </w:rPr>
                              <w:t xml:space="preserve">across a set of [configured] CCs/BWPs: </w:t>
                            </w:r>
                          </w:p>
                          <w:p w14:paraId="0E077ACC" w14:textId="77777777" w:rsidR="00E376B5" w:rsidRPr="007A4B66" w:rsidRDefault="00E376B5"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RRC-configured TCI state pool(s) can be configured 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for each BWP /CC as in Rel-15/16</w:t>
                            </w:r>
                          </w:p>
                          <w:p w14:paraId="4FFE9A6F" w14:textId="56FD7E4D" w:rsidR="00E376B5" w:rsidRPr="004D543C" w:rsidRDefault="00E376B5" w:rsidP="00C4412A">
                            <w:pPr>
                              <w:numPr>
                                <w:ilvl w:val="1"/>
                                <w:numId w:val="21"/>
                              </w:numPr>
                              <w:snapToGrid w:val="0"/>
                              <w:spacing w:after="0" w:line="240" w:lineRule="auto"/>
                              <w:jc w:val="both"/>
                              <w:rPr>
                                <w:rFonts w:ascii="Times New Roman" w:eastAsia="Malgun Gothic" w:hAnsi="Times New Roman" w:cs="Times New Roman"/>
                                <w:szCs w:val="20"/>
                              </w:rPr>
                            </w:pPr>
                            <w:r w:rsidRPr="007A4B66">
                              <w:rPr>
                                <w:rFonts w:ascii="Times New Roman" w:hAnsi="Times New Roman" w:cs="Times New Roman"/>
                                <w:szCs w:val="20"/>
                                <w:lang w:eastAsia="zh-CN"/>
                              </w:rPr>
                              <w:t xml:space="preserve">Note: Such </w:t>
                            </w:r>
                            <w:r w:rsidRPr="007A4B66">
                              <w:rPr>
                                <w:rFonts w:ascii="Times New Roman" w:eastAsia="Malgun Gothic" w:hAnsi="Times New Roman" w:cs="Times New Roman"/>
                                <w:szCs w:val="20"/>
                              </w:rPr>
                              <w:t>RRC-configured</w:t>
                            </w:r>
                            <w:r w:rsidRPr="007A4B66">
                              <w:rPr>
                                <w:rFonts w:ascii="Times New Roman" w:hAnsi="Times New Roman" w:cs="Times New Roman"/>
                                <w:szCs w:val="20"/>
                                <w:lang w:eastAsia="zh-CN"/>
                              </w:rPr>
                              <w:t xml:space="preserve"> TCI state pool(s) configuration doesn’t imply that separate DL/UL TCI state pool is excluded or supported</w:t>
                            </w:r>
                          </w:p>
                          <w:p w14:paraId="55E33C05" w14:textId="183E0BFB" w:rsidR="00E376B5" w:rsidRPr="004D543C" w:rsidRDefault="00E376B5" w:rsidP="00C4412A">
                            <w:pPr>
                              <w:numPr>
                                <w:ilvl w:val="1"/>
                                <w:numId w:val="21"/>
                              </w:numPr>
                              <w:snapToGrid w:val="0"/>
                              <w:spacing w:after="0" w:line="240" w:lineRule="auto"/>
                              <w:jc w:val="both"/>
                              <w:rPr>
                                <w:rFonts w:ascii="Times New Roman" w:eastAsia="Malgun Gothic" w:hAnsi="Times New Roman" w:cs="Times New Roman"/>
                                <w:color w:val="FF0000"/>
                                <w:szCs w:val="20"/>
                              </w:rPr>
                            </w:pPr>
                            <w:r w:rsidRPr="004D543C">
                              <w:rPr>
                                <w:rFonts w:ascii="Times New Roman" w:hAnsi="Times New Roman" w:cs="Times New Roman"/>
                                <w:color w:val="FF0000"/>
                                <w:szCs w:val="20"/>
                                <w:lang w:eastAsia="zh-CN"/>
                              </w:rPr>
                              <w:t xml:space="preserve">A CC/BWP that contains a list of TCI states </w:t>
                            </w:r>
                            <w:r>
                              <w:rPr>
                                <w:rFonts w:ascii="Times New Roman" w:hAnsi="Times New Roman" w:cs="Times New Roman"/>
                                <w:color w:val="FF0000"/>
                                <w:szCs w:val="20"/>
                                <w:lang w:eastAsia="zh-CN"/>
                              </w:rPr>
                              <w:t xml:space="preserve">in the PDSCH-Config </w:t>
                            </w:r>
                            <w:r w:rsidRPr="004D543C">
                              <w:rPr>
                                <w:rFonts w:ascii="Times New Roman" w:hAnsi="Times New Roman" w:cs="Times New Roman"/>
                                <w:color w:val="FF0000"/>
                                <w:szCs w:val="20"/>
                                <w:lang w:eastAsia="zh-CN"/>
                              </w:rPr>
                              <w:t>is called a reference CC/BWP</w:t>
                            </w:r>
                          </w:p>
                          <w:p w14:paraId="7577623F" w14:textId="77777777" w:rsidR="00E376B5" w:rsidRPr="007A4B66" w:rsidRDefault="00E376B5"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RRC-configured TCI state pool(s) can be absent 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for each BWP/CC, and replaced with a reference to RRC-configured TCI state pool(s) in a reference BWP/CC</w:t>
                            </w:r>
                          </w:p>
                          <w:p w14:paraId="0001077F" w14:textId="77777777" w:rsidR="00E376B5" w:rsidRPr="007A4B66" w:rsidRDefault="00E376B5" w:rsidP="00C4412A">
                            <w:pPr>
                              <w:numPr>
                                <w:ilvl w:val="1"/>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of the reference BWP/CC, RRC-configured TCI state pool(s) shall be configured</w:t>
                            </w:r>
                          </w:p>
                          <w:p w14:paraId="4289494F" w14:textId="77777777" w:rsidR="00E376B5" w:rsidRPr="007A4B66" w:rsidRDefault="00E376B5" w:rsidP="00C4412A">
                            <w:pPr>
                              <w:numPr>
                                <w:ilvl w:val="1"/>
                                <w:numId w:val="21"/>
                              </w:numPr>
                              <w:tabs>
                                <w:tab w:val="num" w:pos="1440"/>
                              </w:tabs>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For a BWP/CC where the PDSCH configuration contains a reference to the RRC-configured TCI state pool(s) in a reference BWP/CC, the UE applies the RRC-configured TCI state pool(s) in the reference BWP/CC</w:t>
                            </w:r>
                          </w:p>
                          <w:p w14:paraId="27CE420E" w14:textId="77777777" w:rsidR="00E376B5" w:rsidRPr="007A4B66" w:rsidRDefault="00E376B5"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hAnsi="Times New Roman" w:cs="Times New Roman"/>
                                <w:szCs w:val="20"/>
                              </w:rPr>
                              <w:t>When the BWP/CC ID (</w:t>
                            </w:r>
                            <w:r w:rsidRPr="007A4B66">
                              <w:rPr>
                                <w:rFonts w:ascii="Times New Roman" w:hAnsi="Times New Roman" w:cs="Times New Roman"/>
                                <w:i/>
                                <w:iCs/>
                                <w:szCs w:val="20"/>
                              </w:rPr>
                              <w:t>cell</w:t>
                            </w:r>
                            <w:r w:rsidRPr="007A4B66">
                              <w:rPr>
                                <w:rFonts w:ascii="Times New Roman" w:hAnsi="Times New Roman" w:cs="Times New Roman"/>
                                <w:szCs w:val="20"/>
                              </w:rPr>
                              <w:t>) for QCL-Type A/D source RS in a </w:t>
                            </w:r>
                            <w:r w:rsidRPr="007A4B66">
                              <w:rPr>
                                <w:rFonts w:ascii="Times New Roman" w:hAnsi="Times New Roman" w:cs="Times New Roman"/>
                                <w:i/>
                                <w:iCs/>
                                <w:szCs w:val="20"/>
                              </w:rPr>
                              <w:t>QCL-Info</w:t>
                            </w:r>
                            <w:r w:rsidRPr="007A4B66">
                              <w:rPr>
                                <w:rFonts w:ascii="Times New Roman" w:hAnsi="Times New Roman" w:cs="Times New Roman"/>
                                <w:szCs w:val="20"/>
                              </w:rPr>
                              <w:t> of the TCI state is absent, the UE assumes that QCL-Type A/D source RS is in the BWP/CC to which the TCI state applies</w:t>
                            </w:r>
                          </w:p>
                          <w:p w14:paraId="2EC8D912" w14:textId="77777777" w:rsidR="00E376B5" w:rsidRPr="00CD4058" w:rsidRDefault="00E376B5" w:rsidP="00C4412A">
                            <w:pPr>
                              <w:numPr>
                                <w:ilvl w:val="0"/>
                                <w:numId w:val="21"/>
                              </w:numPr>
                              <w:snapToGrid w:val="0"/>
                              <w:spacing w:after="0" w:line="240" w:lineRule="auto"/>
                              <w:jc w:val="both"/>
                              <w:rPr>
                                <w:rFonts w:ascii="Times New Roman" w:eastAsia="Malgun Gothic" w:hAnsi="Times New Roman" w:cs="Times New Roman"/>
                                <w:szCs w:val="20"/>
                              </w:rPr>
                            </w:pPr>
                            <w:r w:rsidRPr="00CD4058">
                              <w:rPr>
                                <w:rFonts w:ascii="Times New Roman" w:eastAsia="Malgun Gothic" w:hAnsi="Times New Roman" w:cs="Times New Roman"/>
                                <w:szCs w:val="20"/>
                              </w:rPr>
                              <w:t>Introduce a UE capability to report maximum number of TCI state pools it can support across BWPs and CCs in a band, and the candidate value at least includes 1</w:t>
                            </w:r>
                          </w:p>
                          <w:p w14:paraId="6A3C540A" w14:textId="77777777" w:rsidR="00E376B5" w:rsidRPr="004D543C" w:rsidRDefault="00E376B5" w:rsidP="00C4412A">
                            <w:pPr>
                              <w:numPr>
                                <w:ilvl w:val="0"/>
                                <w:numId w:val="21"/>
                              </w:numPr>
                              <w:snapToGrid w:val="0"/>
                              <w:spacing w:after="0" w:line="240" w:lineRule="auto"/>
                              <w:jc w:val="both"/>
                              <w:rPr>
                                <w:rFonts w:ascii="Times New Roman" w:eastAsia="Malgun Gothic" w:hAnsi="Times New Roman" w:cs="Times New Roman"/>
                                <w:strike/>
                                <w:szCs w:val="20"/>
                              </w:rPr>
                            </w:pPr>
                            <w:r w:rsidRPr="004D543C">
                              <w:rPr>
                                <w:rFonts w:ascii="Times New Roman" w:eastAsia="Malgun Gothic" w:hAnsi="Times New Roman" w:cs="Times New Roman"/>
                                <w:strike/>
                                <w:szCs w:val="20"/>
                              </w:rPr>
                              <w:t>FFS: Introduce a UE capability to report maximum number of configured TCI states that it can support across BWPs and CCs in a band</w:t>
                            </w:r>
                          </w:p>
                          <w:p w14:paraId="2770EEEF" w14:textId="77777777" w:rsidR="00E376B5" w:rsidRPr="004D543C" w:rsidRDefault="00E376B5" w:rsidP="00C4412A">
                            <w:pPr>
                              <w:numPr>
                                <w:ilvl w:val="0"/>
                                <w:numId w:val="21"/>
                              </w:numPr>
                              <w:snapToGrid w:val="0"/>
                              <w:spacing w:after="0" w:line="240" w:lineRule="auto"/>
                              <w:jc w:val="both"/>
                              <w:rPr>
                                <w:rFonts w:ascii="Times New Roman" w:eastAsia="Malgun Gothic" w:hAnsi="Times New Roman" w:cs="Times New Roman"/>
                                <w:strike/>
                                <w:szCs w:val="20"/>
                              </w:rPr>
                            </w:pPr>
                            <w:r w:rsidRPr="004D543C">
                              <w:rPr>
                                <w:rFonts w:ascii="Times New Roman" w:eastAsia="Malgun Gothic" w:hAnsi="Times New Roman" w:cs="Times New Roman"/>
                                <w:strike/>
                                <w:szCs w:val="20"/>
                              </w:rPr>
                              <w:t>FFS: How to define reference BWP/CC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898D276" id="Text Box 16" o:spid="_x0000_s1033"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" fillcolor="white [3201]" strokeweight=".5pt">
                <v:textbox style="mso-fit-shape-to-text:t">
                  <w:txbxContent>
                    <w:p w14:paraId="2A5806BE" w14:textId="77777777" w:rsidR="00E376B5" w:rsidRPr="007A4B66" w:rsidRDefault="00E376B5" w:rsidP="00EE27D8">
                      <w:pPr>
                        <w:snapToGrid w:val="0"/>
                        <w:jc w:val="both"/>
                        <w:rPr>
                          <w:rFonts w:ascii="Times New Roman" w:eastAsia="Malgun Gothic" w:hAnsi="Times New Roman" w:cs="Times New Roman"/>
                          <w:szCs w:val="20"/>
                        </w:rPr>
                      </w:pPr>
                      <w:r w:rsidRPr="007A4B66">
                        <w:rPr>
                          <w:rFonts w:ascii="Times New Roman" w:eastAsia="Malgun Gothic" w:hAnsi="Times New Roman" w:cs="Times New Roman"/>
                          <w:szCs w:val="20"/>
                        </w:rPr>
                        <w:t xml:space="preserve">For common TCI state ID update and activation to provide common QCL information </w:t>
                      </w:r>
                      <w:r w:rsidRPr="007A4B66">
                        <w:rPr>
                          <w:rFonts w:ascii="Times New Roman" w:eastAsia="Malgun Gothic" w:hAnsi="Times New Roman" w:cs="Times New Roman"/>
                          <w:szCs w:val="20"/>
                          <w:lang w:eastAsia="ja-JP"/>
                        </w:rPr>
                        <w:t xml:space="preserve">at least for UE-dedicated PDCCH/PDSCH </w:t>
                      </w:r>
                      <w:r w:rsidRPr="007A4B66">
                        <w:rPr>
                          <w:rFonts w:ascii="Times New Roman" w:eastAsia="Malgun Gothic" w:hAnsi="Times New Roman" w:cs="Times New Roman"/>
                          <w:szCs w:val="20"/>
                        </w:rPr>
                        <w:t xml:space="preserve">and/or common UL TX spatial filter(s) </w:t>
                      </w:r>
                      <w:r w:rsidRPr="007A4B66">
                        <w:rPr>
                          <w:rFonts w:ascii="Times New Roman" w:eastAsia="Malgun Gothic" w:hAnsi="Times New Roman" w:cs="Times New Roman"/>
                          <w:szCs w:val="20"/>
                          <w:lang w:eastAsia="ja-JP"/>
                        </w:rPr>
                        <w:t xml:space="preserve">at least for UE-dedicated PUSCH/PUCCH </w:t>
                      </w:r>
                      <w:r w:rsidRPr="007A4B66">
                        <w:rPr>
                          <w:rFonts w:ascii="Times New Roman" w:eastAsia="Malgun Gothic" w:hAnsi="Times New Roman" w:cs="Times New Roman"/>
                          <w:szCs w:val="20"/>
                        </w:rPr>
                        <w:t xml:space="preserve">across a set of [configured] CCs/BWPs: </w:t>
                      </w:r>
                    </w:p>
                    <w:p w14:paraId="0E077ACC" w14:textId="77777777" w:rsidR="00E376B5" w:rsidRPr="007A4B66" w:rsidRDefault="00E376B5"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RRC-configured TCI state pool(s) can be configured 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for each BWP /CC as in Rel-15/16</w:t>
                      </w:r>
                    </w:p>
                    <w:p w14:paraId="4FFE9A6F" w14:textId="56FD7E4D" w:rsidR="00E376B5" w:rsidRPr="004D543C" w:rsidRDefault="00E376B5" w:rsidP="00C4412A">
                      <w:pPr>
                        <w:numPr>
                          <w:ilvl w:val="1"/>
                          <w:numId w:val="21"/>
                        </w:numPr>
                        <w:snapToGrid w:val="0"/>
                        <w:spacing w:after="0" w:line="240" w:lineRule="auto"/>
                        <w:jc w:val="both"/>
                        <w:rPr>
                          <w:rFonts w:ascii="Times New Roman" w:eastAsia="Malgun Gothic" w:hAnsi="Times New Roman" w:cs="Times New Roman"/>
                          <w:szCs w:val="20"/>
                        </w:rPr>
                      </w:pPr>
                      <w:r w:rsidRPr="007A4B66">
                        <w:rPr>
                          <w:rFonts w:ascii="Times New Roman" w:hAnsi="Times New Roman" w:cs="Times New Roman"/>
                          <w:szCs w:val="20"/>
                          <w:lang w:eastAsia="zh-CN"/>
                        </w:rPr>
                        <w:t xml:space="preserve">Note: Such </w:t>
                      </w:r>
                      <w:r w:rsidRPr="007A4B66">
                        <w:rPr>
                          <w:rFonts w:ascii="Times New Roman" w:eastAsia="Malgun Gothic" w:hAnsi="Times New Roman" w:cs="Times New Roman"/>
                          <w:szCs w:val="20"/>
                        </w:rPr>
                        <w:t>RRC-configured</w:t>
                      </w:r>
                      <w:r w:rsidRPr="007A4B66">
                        <w:rPr>
                          <w:rFonts w:ascii="Times New Roman" w:hAnsi="Times New Roman" w:cs="Times New Roman"/>
                          <w:szCs w:val="20"/>
                          <w:lang w:eastAsia="zh-CN"/>
                        </w:rPr>
                        <w:t xml:space="preserve"> TCI state pool(s) configuration doesn’t imply that separate DL/UL TCI state pool is excluded or supported</w:t>
                      </w:r>
                    </w:p>
                    <w:p w14:paraId="55E33C05" w14:textId="183E0BFB" w:rsidR="00E376B5" w:rsidRPr="004D543C" w:rsidRDefault="00E376B5" w:rsidP="00C4412A">
                      <w:pPr>
                        <w:numPr>
                          <w:ilvl w:val="1"/>
                          <w:numId w:val="21"/>
                        </w:numPr>
                        <w:snapToGrid w:val="0"/>
                        <w:spacing w:after="0" w:line="240" w:lineRule="auto"/>
                        <w:jc w:val="both"/>
                        <w:rPr>
                          <w:rFonts w:ascii="Times New Roman" w:eastAsia="Malgun Gothic" w:hAnsi="Times New Roman" w:cs="Times New Roman"/>
                          <w:color w:val="FF0000"/>
                          <w:szCs w:val="20"/>
                        </w:rPr>
                      </w:pPr>
                      <w:r w:rsidRPr="004D543C">
                        <w:rPr>
                          <w:rFonts w:ascii="Times New Roman" w:hAnsi="Times New Roman" w:cs="Times New Roman"/>
                          <w:color w:val="FF0000"/>
                          <w:szCs w:val="20"/>
                          <w:lang w:eastAsia="zh-CN"/>
                        </w:rPr>
                        <w:t xml:space="preserve">A CC/BWP that contains a list of TCI states </w:t>
                      </w:r>
                      <w:r>
                        <w:rPr>
                          <w:rFonts w:ascii="Times New Roman" w:hAnsi="Times New Roman" w:cs="Times New Roman"/>
                          <w:color w:val="FF0000"/>
                          <w:szCs w:val="20"/>
                          <w:lang w:eastAsia="zh-CN"/>
                        </w:rPr>
                        <w:t xml:space="preserve">in the PDSCH-Config </w:t>
                      </w:r>
                      <w:r w:rsidRPr="004D543C">
                        <w:rPr>
                          <w:rFonts w:ascii="Times New Roman" w:hAnsi="Times New Roman" w:cs="Times New Roman"/>
                          <w:color w:val="FF0000"/>
                          <w:szCs w:val="20"/>
                          <w:lang w:eastAsia="zh-CN"/>
                        </w:rPr>
                        <w:t>is called a reference CC/BWP</w:t>
                      </w:r>
                    </w:p>
                    <w:p w14:paraId="7577623F" w14:textId="77777777" w:rsidR="00E376B5" w:rsidRPr="007A4B66" w:rsidRDefault="00E376B5"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RRC-configured TCI state pool(s) can be absent 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for each BWP/CC, and replaced with a reference to RRC-configured TCI state pool(s) in a reference BWP/CC</w:t>
                      </w:r>
                    </w:p>
                    <w:p w14:paraId="0001077F" w14:textId="77777777" w:rsidR="00E376B5" w:rsidRPr="007A4B66" w:rsidRDefault="00E376B5" w:rsidP="00C4412A">
                      <w:pPr>
                        <w:numPr>
                          <w:ilvl w:val="1"/>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of the reference BWP/CC, RRC-configured TCI state pool(s) shall be configured</w:t>
                      </w:r>
                    </w:p>
                    <w:p w14:paraId="4289494F" w14:textId="77777777" w:rsidR="00E376B5" w:rsidRPr="007A4B66" w:rsidRDefault="00E376B5" w:rsidP="00C4412A">
                      <w:pPr>
                        <w:numPr>
                          <w:ilvl w:val="1"/>
                          <w:numId w:val="21"/>
                        </w:numPr>
                        <w:tabs>
                          <w:tab w:val="num" w:pos="1440"/>
                        </w:tabs>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For a BWP/CC where the PDSCH configuration contains a reference to the RRC-configured TCI state pool(s) in a reference BWP/CC, the UE applies the RRC-configured TCI state pool(s) in the reference BWP/CC</w:t>
                      </w:r>
                    </w:p>
                    <w:p w14:paraId="27CE420E" w14:textId="77777777" w:rsidR="00E376B5" w:rsidRPr="007A4B66" w:rsidRDefault="00E376B5"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hAnsi="Times New Roman" w:cs="Times New Roman"/>
                          <w:szCs w:val="20"/>
                        </w:rPr>
                        <w:t>When the BWP/CC ID (</w:t>
                      </w:r>
                      <w:r w:rsidRPr="007A4B66">
                        <w:rPr>
                          <w:rFonts w:ascii="Times New Roman" w:hAnsi="Times New Roman" w:cs="Times New Roman"/>
                          <w:i/>
                          <w:iCs/>
                          <w:szCs w:val="20"/>
                        </w:rPr>
                        <w:t>cell</w:t>
                      </w:r>
                      <w:r w:rsidRPr="007A4B66">
                        <w:rPr>
                          <w:rFonts w:ascii="Times New Roman" w:hAnsi="Times New Roman" w:cs="Times New Roman"/>
                          <w:szCs w:val="20"/>
                        </w:rPr>
                        <w:t>) for QCL-Type A/D source RS in a </w:t>
                      </w:r>
                      <w:r w:rsidRPr="007A4B66">
                        <w:rPr>
                          <w:rFonts w:ascii="Times New Roman" w:hAnsi="Times New Roman" w:cs="Times New Roman"/>
                          <w:i/>
                          <w:iCs/>
                          <w:szCs w:val="20"/>
                        </w:rPr>
                        <w:t>QCL-Info</w:t>
                      </w:r>
                      <w:r w:rsidRPr="007A4B66">
                        <w:rPr>
                          <w:rFonts w:ascii="Times New Roman" w:hAnsi="Times New Roman" w:cs="Times New Roman"/>
                          <w:szCs w:val="20"/>
                        </w:rPr>
                        <w:t> of the TCI state is absent, the UE assumes that QCL-Type A/D source RS is in the BWP/CC to which the TCI state applies</w:t>
                      </w:r>
                    </w:p>
                    <w:p w14:paraId="2EC8D912" w14:textId="77777777" w:rsidR="00E376B5" w:rsidRPr="00CD4058" w:rsidRDefault="00E376B5" w:rsidP="00C4412A">
                      <w:pPr>
                        <w:numPr>
                          <w:ilvl w:val="0"/>
                          <w:numId w:val="21"/>
                        </w:numPr>
                        <w:snapToGrid w:val="0"/>
                        <w:spacing w:after="0" w:line="240" w:lineRule="auto"/>
                        <w:jc w:val="both"/>
                        <w:rPr>
                          <w:rFonts w:ascii="Times New Roman" w:eastAsia="Malgun Gothic" w:hAnsi="Times New Roman" w:cs="Times New Roman"/>
                          <w:szCs w:val="20"/>
                        </w:rPr>
                      </w:pPr>
                      <w:r w:rsidRPr="00CD4058">
                        <w:rPr>
                          <w:rFonts w:ascii="Times New Roman" w:eastAsia="Malgun Gothic" w:hAnsi="Times New Roman" w:cs="Times New Roman"/>
                          <w:szCs w:val="20"/>
                        </w:rPr>
                        <w:t>Introduce a UE capability to report maximum number of TCI state pools it can support across BWPs and CCs in a band, and the candidate value at least includes 1</w:t>
                      </w:r>
                    </w:p>
                    <w:p w14:paraId="6A3C540A" w14:textId="77777777" w:rsidR="00E376B5" w:rsidRPr="004D543C" w:rsidRDefault="00E376B5" w:rsidP="00C4412A">
                      <w:pPr>
                        <w:numPr>
                          <w:ilvl w:val="0"/>
                          <w:numId w:val="21"/>
                        </w:numPr>
                        <w:snapToGrid w:val="0"/>
                        <w:spacing w:after="0" w:line="240" w:lineRule="auto"/>
                        <w:jc w:val="both"/>
                        <w:rPr>
                          <w:rFonts w:ascii="Times New Roman" w:eastAsia="Malgun Gothic" w:hAnsi="Times New Roman" w:cs="Times New Roman"/>
                          <w:strike/>
                          <w:szCs w:val="20"/>
                        </w:rPr>
                      </w:pPr>
                      <w:r w:rsidRPr="004D543C">
                        <w:rPr>
                          <w:rFonts w:ascii="Times New Roman" w:eastAsia="Malgun Gothic" w:hAnsi="Times New Roman" w:cs="Times New Roman"/>
                          <w:strike/>
                          <w:szCs w:val="20"/>
                        </w:rPr>
                        <w:t>FFS: Introduce a UE capability to report maximum number of configured TCI states that it can support across BWPs and CCs in a band</w:t>
                      </w:r>
                    </w:p>
                    <w:p w14:paraId="2770EEEF" w14:textId="77777777" w:rsidR="00E376B5" w:rsidRPr="004D543C" w:rsidRDefault="00E376B5" w:rsidP="00C4412A">
                      <w:pPr>
                        <w:numPr>
                          <w:ilvl w:val="0"/>
                          <w:numId w:val="21"/>
                        </w:numPr>
                        <w:snapToGrid w:val="0"/>
                        <w:spacing w:after="0" w:line="240" w:lineRule="auto"/>
                        <w:jc w:val="both"/>
                        <w:rPr>
                          <w:rFonts w:ascii="Times New Roman" w:eastAsia="Malgun Gothic" w:hAnsi="Times New Roman" w:cs="Times New Roman"/>
                          <w:strike/>
                          <w:szCs w:val="20"/>
                        </w:rPr>
                      </w:pPr>
                      <w:r w:rsidRPr="004D543C">
                        <w:rPr>
                          <w:rFonts w:ascii="Times New Roman" w:eastAsia="Malgun Gothic" w:hAnsi="Times New Roman" w:cs="Times New Roman"/>
                          <w:strike/>
                          <w:szCs w:val="20"/>
                        </w:rPr>
                        <w:t>FFS: How to define reference BWP/CC</w:t>
                      </w:r>
                    </w:p>
                  </w:txbxContent>
                </v:textbox>
                <w10:anchorlock/>
              </v:shape>
            </w:pict>
          </mc:Fallback>
        </mc:AlternateContent>
      </w:r>
      <w:r w:rsidRPr="00450C2D">
        <w:rPr>
          <w:lang w:val="en-GB" w:eastAsia="ja-JP"/>
        </w:rPr>
        <w:t xml:space="preserve"> </w:t>
      </w:r>
    </w:p>
    <w:p w14:paraId="32ADB678" w14:textId="06FEF4B4" w:rsidR="0035047A" w:rsidRDefault="002C303E" w:rsidP="00C80590">
      <w:pPr>
        <w:pStyle w:val="BodyText"/>
        <w:rPr>
          <w:lang w:val="en-GB"/>
        </w:rPr>
      </w:pPr>
      <w:r>
        <w:rPr>
          <w:lang w:val="en-GB"/>
        </w:rPr>
        <w:t>We are no</w:t>
      </w:r>
      <w:r w:rsidR="00CD4058">
        <w:rPr>
          <w:lang w:val="en-GB"/>
        </w:rPr>
        <w:t>w</w:t>
      </w:r>
      <w:r>
        <w:rPr>
          <w:lang w:val="en-GB"/>
        </w:rPr>
        <w:t xml:space="preserve"> approaching the end of the WI, and the Rel-17 TCI framework is starting to come into shape. There</w:t>
      </w:r>
      <w:r w:rsidR="0035047A">
        <w:rPr>
          <w:lang w:val="en-GB"/>
        </w:rPr>
        <w:t xml:space="preserve"> have been no agreements that would render the TCI state RRC IE outdated: </w:t>
      </w:r>
      <w:r>
        <w:rPr>
          <w:lang w:val="en-GB"/>
        </w:rPr>
        <w:t>the additions that are close to being agreed (pointer to a reference CC, PCI, separate PL RS) could be added inside the Rel-15/16 TCI state. Therefore, we propose</w:t>
      </w:r>
    </w:p>
    <w:p w14:paraId="6B7CC572" w14:textId="64692D07" w:rsidR="00BA7B2A" w:rsidRDefault="0035047A" w:rsidP="0035047A">
      <w:pPr>
        <w:pStyle w:val="Proposal"/>
        <w:rPr>
          <w:lang w:val="en-GB"/>
        </w:rPr>
      </w:pPr>
      <w:bookmarkStart w:id="21" w:name="_Toc79658934"/>
      <w:r>
        <w:rPr>
          <w:lang w:val="en-GB"/>
        </w:rPr>
        <w:t xml:space="preserve">Reuse the DL TCI states from Rel-15/16 for the joint/DL TCI states, </w:t>
      </w:r>
      <w:r w:rsidR="002C303E">
        <w:rPr>
          <w:lang w:val="en-GB"/>
        </w:rPr>
        <w:t>and add new fields to handle new functionality.</w:t>
      </w:r>
      <w:bookmarkEnd w:id="21"/>
    </w:p>
    <w:p w14:paraId="5A351798" w14:textId="2E6E2FA6" w:rsidR="007073E3" w:rsidRPr="00A3262A" w:rsidRDefault="007073E3" w:rsidP="00A3262A">
      <w:pPr>
        <w:pStyle w:val="Heading3"/>
        <w:rPr>
          <w:rFonts w:eastAsia="Batang"/>
        </w:rPr>
      </w:pPr>
      <w:r>
        <w:rPr>
          <w:rFonts w:eastAsia="Batang"/>
        </w:rPr>
        <w:t>2.1.</w:t>
      </w:r>
      <w:r w:rsidR="00BA7B2A">
        <w:rPr>
          <w:rFonts w:eastAsia="Batang"/>
        </w:rPr>
        <w:t>5</w:t>
      </w:r>
      <w:r>
        <w:rPr>
          <w:rFonts w:eastAsia="Batang"/>
        </w:rPr>
        <w:tab/>
        <w:t>Power control</w:t>
      </w:r>
    </w:p>
    <w:p w14:paraId="366DE3A5" w14:textId="69DCF87F" w:rsidR="007073E3" w:rsidRPr="00450C2D" w:rsidRDefault="007073E3" w:rsidP="00A3262A">
      <w:pPr>
        <w:keepNext/>
        <w:rPr>
          <w:lang w:val="en-GB" w:eastAsia="ja-JP"/>
        </w:rPr>
      </w:pPr>
      <w:r w:rsidRPr="00450C2D">
        <w:rPr>
          <w:lang w:val="en-GB" w:eastAsia="ja-JP"/>
        </w:rPr>
        <w:t>During RAN1#10</w:t>
      </w:r>
      <w:r w:rsidR="0014145E">
        <w:rPr>
          <w:lang w:val="en-GB" w:eastAsia="ja-JP"/>
        </w:rPr>
        <w:t>5</w:t>
      </w:r>
      <w:r w:rsidRPr="00450C2D">
        <w:rPr>
          <w:lang w:val="en-GB" w:eastAsia="ja-JP"/>
        </w:rPr>
        <w:t>-e, there was some discussion about power control and its relation to the unified TCI framework. The following was agreed</w:t>
      </w:r>
      <w:r w:rsidR="00A3262A" w:rsidRPr="00450C2D">
        <w:rPr>
          <w:lang w:val="en-GB" w:eastAsia="ja-JP"/>
        </w:rPr>
        <w:t>:</w:t>
      </w:r>
    </w:p>
    <w:p w14:paraId="57D98E44" w14:textId="283CD7F5" w:rsidR="00450C2D" w:rsidRPr="00450C2D" w:rsidRDefault="007073E3" w:rsidP="00450C2D">
      <w:pPr>
        <w:pStyle w:val="BodyText"/>
      </w:pPr>
      <w:r w:rsidRPr="00450C2D">
        <w:rPr>
          <w:noProof/>
        </w:rPr>
        <mc:AlternateContent>
          <mc:Choice Requires="wps">
            <w:drawing>
              <wp:inline distT="0" distB="0" distL="0" distR="0" wp14:anchorId="1314015C" wp14:editId="0184D2DC">
                <wp:extent cx="6146359" cy="771276"/>
                <wp:effectExtent l="0" t="0" r="26035" b="24765"/>
                <wp:docPr id="41" name="Text Box 41"/>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4CCBA6DD" w14:textId="77777777" w:rsidR="00E376B5" w:rsidRPr="007A4B66" w:rsidRDefault="00E376B5" w:rsidP="0014145E">
                            <w:pPr>
                              <w:snapToGrid w:val="0"/>
                              <w:jc w:val="both"/>
                              <w:rPr>
                                <w:rFonts w:ascii="Times New Roman" w:hAnsi="Times New Roman" w:cs="Times New Roman"/>
                                <w:szCs w:val="20"/>
                                <w:highlight w:val="green"/>
                              </w:rPr>
                            </w:pPr>
                            <w:r w:rsidRPr="007A4B66">
                              <w:rPr>
                                <w:rFonts w:ascii="Times New Roman" w:hAnsi="Times New Roman" w:cs="Times New Roman"/>
                                <w:b/>
                                <w:szCs w:val="20"/>
                                <w:highlight w:val="green"/>
                              </w:rPr>
                              <w:t>Agreement</w:t>
                            </w:r>
                          </w:p>
                          <w:p w14:paraId="3BCD4035" w14:textId="77777777" w:rsidR="00E376B5" w:rsidRPr="007A4B66" w:rsidRDefault="00E376B5" w:rsidP="0014145E">
                            <w:pPr>
                              <w:snapToGrid w:val="0"/>
                              <w:jc w:val="both"/>
                              <w:rPr>
                                <w:rFonts w:ascii="Times New Roman" w:hAnsi="Times New Roman" w:cs="Times New Roman"/>
                                <w:szCs w:val="20"/>
                              </w:rPr>
                            </w:pPr>
                            <w:r w:rsidRPr="007A4B66">
                              <w:rPr>
                                <w:rFonts w:ascii="Times New Roman" w:hAnsi="Times New Roman" w:cs="Times New Roman"/>
                                <w:szCs w:val="20"/>
                              </w:rPr>
                              <w:t>On path-loss measurement for Rel.17 unified TCI framework</w:t>
                            </w:r>
                            <w:r w:rsidRPr="007A4B66">
                              <w:rPr>
                                <w:rFonts w:ascii="Times New Roman" w:hAnsi="Times New Roman" w:cs="Times New Roman"/>
                                <w:szCs w:val="20"/>
                                <w:lang w:eastAsia="ja-JP"/>
                              </w:rPr>
                              <w:t>, a PL-RS (configured for path-loss calculation) is either included in</w:t>
                            </w:r>
                            <w:r w:rsidRPr="007A4B66">
                              <w:rPr>
                                <w:rStyle w:val="apple-converted-space"/>
                                <w:rFonts w:ascii="Times New Roman" w:hAnsi="Times New Roman" w:cs="Times New Roman"/>
                                <w:szCs w:val="20"/>
                                <w:lang w:eastAsia="ja-JP"/>
                              </w:rPr>
                              <w:t> </w:t>
                            </w:r>
                            <w:r w:rsidRPr="007A4B66">
                              <w:rPr>
                                <w:rStyle w:val="apple-converted-space"/>
                                <w:rFonts w:ascii="Times New Roman" w:hAnsi="Times New Roman" w:cs="Times New Roman"/>
                                <w:szCs w:val="20"/>
                                <w:lang w:eastAsia="zh-CN"/>
                              </w:rPr>
                              <w:t xml:space="preserve">UL </w:t>
                            </w:r>
                            <w:r w:rsidRPr="007A4B66">
                              <w:rPr>
                                <w:rStyle w:val="apple-converted-space"/>
                                <w:rFonts w:ascii="Times New Roman" w:hAnsi="Times New Roman" w:cs="Times New Roman"/>
                                <w:szCs w:val="20"/>
                                <w:lang w:eastAsia="ja-JP"/>
                              </w:rPr>
                              <w:t>TCI state</w:t>
                            </w:r>
                            <w:r w:rsidRPr="007A4B66">
                              <w:rPr>
                                <w:rStyle w:val="apple-converted-space"/>
                                <w:rFonts w:ascii="Times New Roman" w:hAnsi="Times New Roman" w:cs="Times New Roman"/>
                                <w:szCs w:val="20"/>
                                <w:lang w:eastAsia="zh-CN"/>
                              </w:rPr>
                              <w:t xml:space="preserve"> or (if applicable) joint TCI state</w:t>
                            </w:r>
                            <w:r w:rsidRPr="007A4B66">
                              <w:rPr>
                                <w:rStyle w:val="apple-converted-space"/>
                                <w:rFonts w:ascii="Times New Roman" w:hAnsi="Times New Roman" w:cs="Times New Roman"/>
                                <w:szCs w:val="20"/>
                                <w:lang w:eastAsia="ja-JP"/>
                              </w:rPr>
                              <w:t xml:space="preserve"> or associated with </w:t>
                            </w:r>
                            <w:r w:rsidRPr="007A4B66">
                              <w:rPr>
                                <w:rFonts w:ascii="Times New Roman" w:hAnsi="Times New Roman" w:cs="Times New Roman"/>
                                <w:szCs w:val="20"/>
                                <w:lang w:eastAsia="ja-JP"/>
                              </w:rPr>
                              <w:t>UL TCI state or (if applicable) joint TCI state.</w:t>
                            </w:r>
                          </w:p>
                          <w:p w14:paraId="4C24F583" w14:textId="77777777" w:rsidR="00E376B5" w:rsidRPr="007A4B66" w:rsidRDefault="00E376B5" w:rsidP="00C4412A">
                            <w:pPr>
                              <w:pStyle w:val="ListParagraph"/>
                              <w:numPr>
                                <w:ilvl w:val="0"/>
                                <w:numId w:val="49"/>
                              </w:numPr>
                              <w:snapToGrid w:val="0"/>
                              <w:spacing w:line="240" w:lineRule="auto"/>
                              <w:jc w:val="both"/>
                              <w:rPr>
                                <w:rFonts w:ascii="Times New Roman" w:hAnsi="Times New Roman" w:cs="Times New Roman"/>
                                <w:sz w:val="20"/>
                                <w:szCs w:val="20"/>
                                <w:lang w:eastAsia="ko-KR"/>
                              </w:rPr>
                            </w:pPr>
                            <w:r w:rsidRPr="007A4B66">
                              <w:rPr>
                                <w:rStyle w:val="msoins0"/>
                                <w:rFonts w:ascii="Times New Roman" w:eastAsia="Times New Roman" w:hAnsi="Times New Roman" w:cs="Times New Roman"/>
                                <w:sz w:val="20"/>
                                <w:szCs w:val="20"/>
                              </w:rPr>
                              <w:t>Whether a UE supports “beam misalignment or not” (detailed definition FFS)</w:t>
                            </w:r>
                            <w:r w:rsidRPr="007A4B66">
                              <w:rPr>
                                <w:rStyle w:val="apple-converted-space"/>
                                <w:rFonts w:ascii="Times New Roman" w:eastAsia="Times New Roman" w:hAnsi="Times New Roman" w:cs="Times New Roman"/>
                                <w:sz w:val="20"/>
                                <w:szCs w:val="20"/>
                              </w:rPr>
                              <w:t> </w:t>
                            </w:r>
                            <w:r w:rsidRPr="007A4B66">
                              <w:rPr>
                                <w:rStyle w:val="msoins0"/>
                                <w:rFonts w:ascii="Times New Roman" w:eastAsia="Times New Roman" w:hAnsi="Times New Roman" w:cs="Times New Roman"/>
                                <w:sz w:val="20"/>
                                <w:szCs w:val="20"/>
                              </w:rPr>
                              <w:t>between</w:t>
                            </w:r>
                            <w:r w:rsidRPr="007A4B66">
                              <w:rPr>
                                <w:rStyle w:val="apple-converted-space"/>
                                <w:rFonts w:ascii="Times New Roman" w:eastAsia="Times New Roman" w:hAnsi="Times New Roman" w:cs="Times New Roman"/>
                                <w:sz w:val="20"/>
                                <w:szCs w:val="20"/>
                              </w:rPr>
                              <w:t> </w:t>
                            </w:r>
                            <w:r w:rsidRPr="007A4B66">
                              <w:rPr>
                                <w:rStyle w:val="apple-converted-space"/>
                                <w:rFonts w:ascii="Times New Roman" w:hAnsi="Times New Roman" w:cs="Times New Roman"/>
                                <w:sz w:val="20"/>
                                <w:szCs w:val="20"/>
                                <w:lang w:eastAsia="ja-JP"/>
                              </w:rPr>
                              <w:t>the</w:t>
                            </w:r>
                            <w:r w:rsidRPr="007A4B66">
                              <w:rPr>
                                <w:rFonts w:ascii="Times New Roman" w:hAnsi="Times New Roman" w:cs="Times New Roman"/>
                                <w:sz w:val="20"/>
                                <w:szCs w:val="20"/>
                                <w:lang w:eastAsia="ja-JP"/>
                              </w:rPr>
                              <w:t xml:space="preserve"> DL </w:t>
                            </w:r>
                            <w:r w:rsidRPr="007A4B66">
                              <w:rPr>
                                <w:rFonts w:ascii="Times New Roman" w:eastAsia="Times New Roman" w:hAnsi="Times New Roman" w:cs="Times New Roman"/>
                                <w:sz w:val="20"/>
                                <w:szCs w:val="20"/>
                              </w:rPr>
                              <w:t xml:space="preserve">source </w:t>
                            </w:r>
                            <w:r w:rsidRPr="007A4B66">
                              <w:rPr>
                                <w:rFonts w:ascii="Times New Roman" w:hAnsi="Times New Roman" w:cs="Times New Roman"/>
                                <w:sz w:val="20"/>
                                <w:szCs w:val="20"/>
                                <w:lang w:eastAsia="ja-JP"/>
                              </w:rPr>
                              <w:t>RS in</w:t>
                            </w:r>
                            <w:r w:rsidRPr="007A4B66">
                              <w:rPr>
                                <w:rStyle w:val="apple-converted-space"/>
                                <w:rFonts w:ascii="Times New Roman" w:hAnsi="Times New Roman" w:cs="Times New Roman"/>
                                <w:sz w:val="20"/>
                                <w:szCs w:val="20"/>
                                <w:lang w:eastAsia="ja-JP"/>
                              </w:rPr>
                              <w:t> </w:t>
                            </w:r>
                            <w:r w:rsidRPr="007A4B66">
                              <w:rPr>
                                <w:rFonts w:ascii="Times New Roman" w:hAnsi="Times New Roman" w:cs="Times New Roman"/>
                                <w:sz w:val="20"/>
                                <w:szCs w:val="20"/>
                                <w:lang w:eastAsia="ja-JP"/>
                              </w:rPr>
                              <w:t>the UL or (if applicable) joint TCI state</w:t>
                            </w:r>
                            <w:r w:rsidRPr="007A4B66">
                              <w:rPr>
                                <w:rStyle w:val="apple-converted-space"/>
                                <w:rFonts w:ascii="Times New Roman" w:hAnsi="Times New Roman" w:cs="Times New Roman"/>
                                <w:sz w:val="20"/>
                                <w:szCs w:val="20"/>
                                <w:lang w:eastAsia="ja-JP"/>
                              </w:rPr>
                              <w:t> </w:t>
                            </w:r>
                            <w:r w:rsidRPr="007A4B66">
                              <w:rPr>
                                <w:rFonts w:ascii="Times New Roman" w:hAnsi="Times New Roman" w:cs="Times New Roman"/>
                                <w:sz w:val="20"/>
                                <w:szCs w:val="20"/>
                                <w:lang w:eastAsia="ja-JP"/>
                              </w:rPr>
                              <w:t>to provide spatial relation indication and the PL-RS is a UE capability</w:t>
                            </w:r>
                          </w:p>
                          <w:p w14:paraId="40EB8EA3" w14:textId="77777777" w:rsidR="00E376B5" w:rsidRPr="007A4B66" w:rsidRDefault="00E376B5" w:rsidP="00C4412A">
                            <w:pPr>
                              <w:pStyle w:val="ListParagraph"/>
                              <w:numPr>
                                <w:ilvl w:val="1"/>
                                <w:numId w:val="49"/>
                              </w:numPr>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lang w:eastAsia="ja-JP"/>
                              </w:rPr>
                              <w:t>Note: The term “</w:t>
                            </w:r>
                            <w:r w:rsidRPr="007A4B66">
                              <w:rPr>
                                <w:rStyle w:val="msoins0"/>
                                <w:rFonts w:ascii="Times New Roman" w:eastAsia="Times New Roman" w:hAnsi="Times New Roman" w:cs="Times New Roman"/>
                                <w:sz w:val="20"/>
                                <w:szCs w:val="20"/>
                              </w:rPr>
                              <w:t>beam misalignment</w:t>
                            </w:r>
                            <w:r w:rsidRPr="007A4B66">
                              <w:rPr>
                                <w:rFonts w:ascii="Times New Roman" w:hAnsi="Times New Roman" w:cs="Times New Roman"/>
                                <w:sz w:val="20"/>
                                <w:szCs w:val="20"/>
                                <w:lang w:eastAsia="ja-JP"/>
                              </w:rPr>
                              <w:t>” is for discussion purpose only</w:t>
                            </w:r>
                          </w:p>
                          <w:p w14:paraId="27CBDA35" w14:textId="77777777" w:rsidR="00E376B5" w:rsidRPr="007A4B66" w:rsidRDefault="00E376B5" w:rsidP="00C4412A">
                            <w:pPr>
                              <w:pStyle w:val="ListParagraph"/>
                              <w:numPr>
                                <w:ilvl w:val="0"/>
                                <w:numId w:val="49"/>
                              </w:numPr>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lang w:eastAsia="ja-JP"/>
                              </w:rPr>
                              <w:t>Whether it is ‘included in’ or ‘associated with’ (including the manner it is performed and the signaling) is up to RAN2</w:t>
                            </w:r>
                          </w:p>
                          <w:p w14:paraId="527EF8AC" w14:textId="77777777" w:rsidR="00E376B5" w:rsidRPr="007A4B66" w:rsidRDefault="00E376B5" w:rsidP="00C4412A">
                            <w:pPr>
                              <w:numPr>
                                <w:ilvl w:val="0"/>
                                <w:numId w:val="48"/>
                              </w:numPr>
                              <w:snapToGrid w:val="0"/>
                              <w:spacing w:after="0" w:line="240" w:lineRule="auto"/>
                              <w:jc w:val="both"/>
                              <w:rPr>
                                <w:rFonts w:ascii="Times New Roman" w:eastAsia="Times New Roman" w:hAnsi="Times New Roman" w:cs="Times New Roman"/>
                                <w:szCs w:val="20"/>
                              </w:rPr>
                            </w:pPr>
                            <w:r w:rsidRPr="007A4B66">
                              <w:rPr>
                                <w:rFonts w:ascii="Times New Roman" w:eastAsia="Times New Roman" w:hAnsi="Times New Roman" w:cs="Times New Roman"/>
                                <w:szCs w:val="20"/>
                              </w:rPr>
                              <w:t>The UE maintains the PL-RS of the activated UL TCI state or (if applicable) joint TCI state</w:t>
                            </w:r>
                          </w:p>
                          <w:p w14:paraId="6C16BB05" w14:textId="77777777" w:rsidR="00E376B5" w:rsidRPr="007A4B66" w:rsidRDefault="00E376B5" w:rsidP="00C4412A">
                            <w:pPr>
                              <w:numPr>
                                <w:ilvl w:val="0"/>
                                <w:numId w:val="48"/>
                              </w:numPr>
                              <w:snapToGrid w:val="0"/>
                              <w:spacing w:after="0" w:line="240" w:lineRule="auto"/>
                              <w:jc w:val="both"/>
                              <w:rPr>
                                <w:rFonts w:ascii="Times New Roman" w:eastAsia="Times New Roman" w:hAnsi="Times New Roman" w:cs="Times New Roman"/>
                                <w:szCs w:val="20"/>
                              </w:rPr>
                            </w:pPr>
                            <w:r w:rsidRPr="007A4B66">
                              <w:rPr>
                                <w:rFonts w:ascii="Times New Roman" w:eastAsia="Times New Roman" w:hAnsi="Times New Roman" w:cs="Times New Roman"/>
                                <w:szCs w:val="20"/>
                              </w:rPr>
                              <w:t>The maximum number of activated UL TCI states or (if applicable) joint TCI states per band per cell is a UE capability</w:t>
                            </w:r>
                          </w:p>
                          <w:p w14:paraId="3F11952B" w14:textId="77777777" w:rsidR="00E376B5" w:rsidRPr="007A4B66" w:rsidRDefault="00E376B5" w:rsidP="00C4412A">
                            <w:pPr>
                              <w:numPr>
                                <w:ilvl w:val="0"/>
                                <w:numId w:val="48"/>
                              </w:numPr>
                              <w:snapToGrid w:val="0"/>
                              <w:spacing w:after="0" w:line="240" w:lineRule="auto"/>
                              <w:jc w:val="both"/>
                              <w:rPr>
                                <w:rFonts w:ascii="Times New Roman" w:eastAsia="Times New Roman" w:hAnsi="Times New Roman" w:cs="Times New Roman"/>
                                <w:szCs w:val="20"/>
                                <w:lang w:eastAsia="ko-KR"/>
                              </w:rPr>
                            </w:pPr>
                            <w:r w:rsidRPr="007A4B66">
                              <w:rPr>
                                <w:rFonts w:ascii="Times New Roman" w:hAnsi="Times New Roman" w:cs="Times New Roman"/>
                                <w:szCs w:val="20"/>
                                <w:lang w:eastAsia="ja-JP"/>
                              </w:rPr>
                              <w:t>FFS: detailed aspects of PL-RS, e.g. CSI-RS type(s), restriction on configuration</w:t>
                            </w:r>
                          </w:p>
                          <w:p w14:paraId="20947142" w14:textId="77777777" w:rsidR="00E376B5" w:rsidRPr="007A4B66" w:rsidRDefault="00E376B5" w:rsidP="00C4412A">
                            <w:pPr>
                              <w:numPr>
                                <w:ilvl w:val="0"/>
                                <w:numId w:val="48"/>
                              </w:numPr>
                              <w:snapToGrid w:val="0"/>
                              <w:spacing w:after="0" w:line="240" w:lineRule="auto"/>
                              <w:jc w:val="both"/>
                              <w:rPr>
                                <w:rFonts w:ascii="Times New Roman" w:hAnsi="Times New Roman" w:cs="Times New Roman"/>
                                <w:szCs w:val="20"/>
                                <w:lang w:eastAsia="ja-JP"/>
                              </w:rPr>
                            </w:pPr>
                            <w:r w:rsidRPr="007A4B66">
                              <w:rPr>
                                <w:rFonts w:ascii="Times New Roman" w:hAnsi="Times New Roman" w:cs="Times New Roman"/>
                                <w:szCs w:val="20"/>
                                <w:lang w:eastAsia="ja-JP"/>
                              </w:rPr>
                              <w:t>FFS: For the definition of “</w:t>
                            </w:r>
                            <w:r w:rsidRPr="007A4B66">
                              <w:rPr>
                                <w:rStyle w:val="msoins0"/>
                                <w:rFonts w:ascii="Times New Roman" w:eastAsia="Times New Roman" w:hAnsi="Times New Roman" w:cs="Times New Roman"/>
                                <w:szCs w:val="20"/>
                              </w:rPr>
                              <w:t>beam misalignment</w:t>
                            </w:r>
                            <w:r w:rsidRPr="007A4B66">
                              <w:rPr>
                                <w:rFonts w:ascii="Times New Roman" w:hAnsi="Times New Roman" w:cs="Times New Roman"/>
                                <w:szCs w:val="20"/>
                                <w:lang w:eastAsia="ja-JP"/>
                              </w:rPr>
                              <w:t xml:space="preserve"> or not”, at least consider the case where the periodic DL source RS in</w:t>
                            </w:r>
                            <w:r w:rsidRPr="007A4B66">
                              <w:rPr>
                                <w:rFonts w:ascii="Times New Roman" w:hAnsi="Times New Roman" w:cs="Times New Roman"/>
                                <w:szCs w:val="20"/>
                              </w:rPr>
                              <w:t> </w:t>
                            </w:r>
                            <w:r w:rsidRPr="007A4B66">
                              <w:rPr>
                                <w:rFonts w:ascii="Times New Roman" w:hAnsi="Times New Roman" w:cs="Times New Roman"/>
                                <w:szCs w:val="20"/>
                                <w:lang w:eastAsia="ja-JP"/>
                              </w:rPr>
                              <w:t>the UL or (if applicable) joint TCI state to provide spatial relation indication is configured/associated as the PL-RS</w:t>
                            </w:r>
                          </w:p>
                          <w:p w14:paraId="1B3299DA" w14:textId="1B57BCD0" w:rsidR="00E376B5" w:rsidRPr="0014145E" w:rsidRDefault="00E376B5" w:rsidP="00C4412A">
                            <w:pPr>
                              <w:numPr>
                                <w:ilvl w:val="0"/>
                                <w:numId w:val="48"/>
                              </w:numPr>
                              <w:snapToGrid w:val="0"/>
                              <w:spacing w:after="0" w:line="240" w:lineRule="auto"/>
                              <w:jc w:val="both"/>
                              <w:rPr>
                                <w:rFonts w:ascii="Times New Roman" w:eastAsia="Malgun Gothic" w:hAnsi="Times New Roman" w:cs="Times New Roman"/>
                                <w:szCs w:val="20"/>
                                <w:lang w:eastAsia="ja-JP"/>
                              </w:rPr>
                            </w:pPr>
                            <w:r w:rsidRPr="007A4B66">
                              <w:rPr>
                                <w:rFonts w:ascii="Times New Roman" w:hAnsi="Times New Roman" w:cs="Times New Roman"/>
                                <w:szCs w:val="20"/>
                                <w:lang w:eastAsia="ja-JP"/>
                              </w:rPr>
                              <w:t>Note: PL-RS is assumed to be periodic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314015C" id="Text Box 41" o:spid="_x0000_s1034"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Mzf+r5QAgAAqgQAAA4AAAAAAAAAAAAAAAAALgIAAGRycy9lMm9Eb2MueG1sUEsBAi0AFAAGAAgA&#10;AAAhACIEwubcAAAABQEAAA8AAAAAAAAAAAAAAAAAqgQAAGRycy9kb3ducmV2LnhtbFBLBQYAAAAA&#10;BAAEAPMAAACzBQAAAAA=&#10;" fillcolor="white [3201]" strokeweight=".5pt">
                <v:textbox style="mso-fit-shape-to-text:t">
                  <w:txbxContent>
                    <w:p w14:paraId="4CCBA6DD" w14:textId="77777777" w:rsidR="00E376B5" w:rsidRPr="007A4B66" w:rsidRDefault="00E376B5" w:rsidP="0014145E">
                      <w:pPr>
                        <w:snapToGrid w:val="0"/>
                        <w:jc w:val="both"/>
                        <w:rPr>
                          <w:rFonts w:ascii="Times New Roman" w:hAnsi="Times New Roman" w:cs="Times New Roman"/>
                          <w:szCs w:val="20"/>
                          <w:highlight w:val="green"/>
                        </w:rPr>
                      </w:pPr>
                      <w:r w:rsidRPr="007A4B66">
                        <w:rPr>
                          <w:rFonts w:ascii="Times New Roman" w:hAnsi="Times New Roman" w:cs="Times New Roman"/>
                          <w:b/>
                          <w:szCs w:val="20"/>
                          <w:highlight w:val="green"/>
                        </w:rPr>
                        <w:t>Agreement</w:t>
                      </w:r>
                    </w:p>
                    <w:p w14:paraId="3BCD4035" w14:textId="77777777" w:rsidR="00E376B5" w:rsidRPr="007A4B66" w:rsidRDefault="00E376B5" w:rsidP="0014145E">
                      <w:pPr>
                        <w:snapToGrid w:val="0"/>
                        <w:jc w:val="both"/>
                        <w:rPr>
                          <w:rFonts w:ascii="Times New Roman" w:hAnsi="Times New Roman" w:cs="Times New Roman"/>
                          <w:szCs w:val="20"/>
                        </w:rPr>
                      </w:pPr>
                      <w:r w:rsidRPr="007A4B66">
                        <w:rPr>
                          <w:rFonts w:ascii="Times New Roman" w:hAnsi="Times New Roman" w:cs="Times New Roman"/>
                          <w:szCs w:val="20"/>
                        </w:rPr>
                        <w:t>On path-loss measurement for Rel.17 unified TCI framework</w:t>
                      </w:r>
                      <w:r w:rsidRPr="007A4B66">
                        <w:rPr>
                          <w:rFonts w:ascii="Times New Roman" w:hAnsi="Times New Roman" w:cs="Times New Roman"/>
                          <w:szCs w:val="20"/>
                          <w:lang w:eastAsia="ja-JP"/>
                        </w:rPr>
                        <w:t>, a PL-RS (configured for path-loss calculation) is either included in</w:t>
                      </w:r>
                      <w:r w:rsidRPr="007A4B66">
                        <w:rPr>
                          <w:rStyle w:val="apple-converted-space"/>
                          <w:rFonts w:ascii="Times New Roman" w:hAnsi="Times New Roman" w:cs="Times New Roman"/>
                          <w:szCs w:val="20"/>
                          <w:lang w:eastAsia="ja-JP"/>
                        </w:rPr>
                        <w:t> </w:t>
                      </w:r>
                      <w:r w:rsidRPr="007A4B66">
                        <w:rPr>
                          <w:rStyle w:val="apple-converted-space"/>
                          <w:rFonts w:ascii="Times New Roman" w:hAnsi="Times New Roman" w:cs="Times New Roman"/>
                          <w:szCs w:val="20"/>
                          <w:lang w:eastAsia="zh-CN"/>
                        </w:rPr>
                        <w:t xml:space="preserve">UL </w:t>
                      </w:r>
                      <w:r w:rsidRPr="007A4B66">
                        <w:rPr>
                          <w:rStyle w:val="apple-converted-space"/>
                          <w:rFonts w:ascii="Times New Roman" w:hAnsi="Times New Roman" w:cs="Times New Roman"/>
                          <w:szCs w:val="20"/>
                          <w:lang w:eastAsia="ja-JP"/>
                        </w:rPr>
                        <w:t>TCI state</w:t>
                      </w:r>
                      <w:r w:rsidRPr="007A4B66">
                        <w:rPr>
                          <w:rStyle w:val="apple-converted-space"/>
                          <w:rFonts w:ascii="Times New Roman" w:hAnsi="Times New Roman" w:cs="Times New Roman"/>
                          <w:szCs w:val="20"/>
                          <w:lang w:eastAsia="zh-CN"/>
                        </w:rPr>
                        <w:t xml:space="preserve"> or (if applicable) joint TCI state</w:t>
                      </w:r>
                      <w:r w:rsidRPr="007A4B66">
                        <w:rPr>
                          <w:rStyle w:val="apple-converted-space"/>
                          <w:rFonts w:ascii="Times New Roman" w:hAnsi="Times New Roman" w:cs="Times New Roman"/>
                          <w:szCs w:val="20"/>
                          <w:lang w:eastAsia="ja-JP"/>
                        </w:rPr>
                        <w:t xml:space="preserve"> or associated with </w:t>
                      </w:r>
                      <w:r w:rsidRPr="007A4B66">
                        <w:rPr>
                          <w:rFonts w:ascii="Times New Roman" w:hAnsi="Times New Roman" w:cs="Times New Roman"/>
                          <w:szCs w:val="20"/>
                          <w:lang w:eastAsia="ja-JP"/>
                        </w:rPr>
                        <w:t>UL TCI state or (if applicable) joint TCI state.</w:t>
                      </w:r>
                    </w:p>
                    <w:p w14:paraId="4C24F583" w14:textId="77777777" w:rsidR="00E376B5" w:rsidRPr="007A4B66" w:rsidRDefault="00E376B5" w:rsidP="00C4412A">
                      <w:pPr>
                        <w:pStyle w:val="ListParagraph"/>
                        <w:numPr>
                          <w:ilvl w:val="0"/>
                          <w:numId w:val="49"/>
                        </w:numPr>
                        <w:snapToGrid w:val="0"/>
                        <w:spacing w:line="240" w:lineRule="auto"/>
                        <w:jc w:val="both"/>
                        <w:rPr>
                          <w:rFonts w:ascii="Times New Roman" w:hAnsi="Times New Roman" w:cs="Times New Roman"/>
                          <w:sz w:val="20"/>
                          <w:szCs w:val="20"/>
                          <w:lang w:eastAsia="ko-KR"/>
                        </w:rPr>
                      </w:pPr>
                      <w:r w:rsidRPr="007A4B66">
                        <w:rPr>
                          <w:rStyle w:val="msoins0"/>
                          <w:rFonts w:ascii="Times New Roman" w:eastAsia="Times New Roman" w:hAnsi="Times New Roman" w:cs="Times New Roman"/>
                          <w:sz w:val="20"/>
                          <w:szCs w:val="20"/>
                        </w:rPr>
                        <w:t>Whether a UE supports “beam misalignment or not” (detailed definition FFS)</w:t>
                      </w:r>
                      <w:r w:rsidRPr="007A4B66">
                        <w:rPr>
                          <w:rStyle w:val="apple-converted-space"/>
                          <w:rFonts w:ascii="Times New Roman" w:eastAsia="Times New Roman" w:hAnsi="Times New Roman" w:cs="Times New Roman"/>
                          <w:sz w:val="20"/>
                          <w:szCs w:val="20"/>
                        </w:rPr>
                        <w:t> </w:t>
                      </w:r>
                      <w:r w:rsidRPr="007A4B66">
                        <w:rPr>
                          <w:rStyle w:val="msoins0"/>
                          <w:rFonts w:ascii="Times New Roman" w:eastAsia="Times New Roman" w:hAnsi="Times New Roman" w:cs="Times New Roman"/>
                          <w:sz w:val="20"/>
                          <w:szCs w:val="20"/>
                        </w:rPr>
                        <w:t>between</w:t>
                      </w:r>
                      <w:r w:rsidRPr="007A4B66">
                        <w:rPr>
                          <w:rStyle w:val="apple-converted-space"/>
                          <w:rFonts w:ascii="Times New Roman" w:eastAsia="Times New Roman" w:hAnsi="Times New Roman" w:cs="Times New Roman"/>
                          <w:sz w:val="20"/>
                          <w:szCs w:val="20"/>
                        </w:rPr>
                        <w:t> </w:t>
                      </w:r>
                      <w:r w:rsidRPr="007A4B66">
                        <w:rPr>
                          <w:rStyle w:val="apple-converted-space"/>
                          <w:rFonts w:ascii="Times New Roman" w:hAnsi="Times New Roman" w:cs="Times New Roman"/>
                          <w:sz w:val="20"/>
                          <w:szCs w:val="20"/>
                          <w:lang w:eastAsia="ja-JP"/>
                        </w:rPr>
                        <w:t>the</w:t>
                      </w:r>
                      <w:r w:rsidRPr="007A4B66">
                        <w:rPr>
                          <w:rFonts w:ascii="Times New Roman" w:hAnsi="Times New Roman" w:cs="Times New Roman"/>
                          <w:sz w:val="20"/>
                          <w:szCs w:val="20"/>
                          <w:lang w:eastAsia="ja-JP"/>
                        </w:rPr>
                        <w:t xml:space="preserve"> DL </w:t>
                      </w:r>
                      <w:r w:rsidRPr="007A4B66">
                        <w:rPr>
                          <w:rFonts w:ascii="Times New Roman" w:eastAsia="Times New Roman" w:hAnsi="Times New Roman" w:cs="Times New Roman"/>
                          <w:sz w:val="20"/>
                          <w:szCs w:val="20"/>
                        </w:rPr>
                        <w:t xml:space="preserve">source </w:t>
                      </w:r>
                      <w:r w:rsidRPr="007A4B66">
                        <w:rPr>
                          <w:rFonts w:ascii="Times New Roman" w:hAnsi="Times New Roman" w:cs="Times New Roman"/>
                          <w:sz w:val="20"/>
                          <w:szCs w:val="20"/>
                          <w:lang w:eastAsia="ja-JP"/>
                        </w:rPr>
                        <w:t>RS in</w:t>
                      </w:r>
                      <w:r w:rsidRPr="007A4B66">
                        <w:rPr>
                          <w:rStyle w:val="apple-converted-space"/>
                          <w:rFonts w:ascii="Times New Roman" w:hAnsi="Times New Roman" w:cs="Times New Roman"/>
                          <w:sz w:val="20"/>
                          <w:szCs w:val="20"/>
                          <w:lang w:eastAsia="ja-JP"/>
                        </w:rPr>
                        <w:t> </w:t>
                      </w:r>
                      <w:r w:rsidRPr="007A4B66">
                        <w:rPr>
                          <w:rFonts w:ascii="Times New Roman" w:hAnsi="Times New Roman" w:cs="Times New Roman"/>
                          <w:sz w:val="20"/>
                          <w:szCs w:val="20"/>
                          <w:lang w:eastAsia="ja-JP"/>
                        </w:rPr>
                        <w:t>the UL or (if applicable) joint TCI state</w:t>
                      </w:r>
                      <w:r w:rsidRPr="007A4B66">
                        <w:rPr>
                          <w:rStyle w:val="apple-converted-space"/>
                          <w:rFonts w:ascii="Times New Roman" w:hAnsi="Times New Roman" w:cs="Times New Roman"/>
                          <w:sz w:val="20"/>
                          <w:szCs w:val="20"/>
                          <w:lang w:eastAsia="ja-JP"/>
                        </w:rPr>
                        <w:t> </w:t>
                      </w:r>
                      <w:r w:rsidRPr="007A4B66">
                        <w:rPr>
                          <w:rFonts w:ascii="Times New Roman" w:hAnsi="Times New Roman" w:cs="Times New Roman"/>
                          <w:sz w:val="20"/>
                          <w:szCs w:val="20"/>
                          <w:lang w:eastAsia="ja-JP"/>
                        </w:rPr>
                        <w:t>to provide spatial relation indication and the PL-RS is a UE capability</w:t>
                      </w:r>
                    </w:p>
                    <w:p w14:paraId="40EB8EA3" w14:textId="77777777" w:rsidR="00E376B5" w:rsidRPr="007A4B66" w:rsidRDefault="00E376B5" w:rsidP="00C4412A">
                      <w:pPr>
                        <w:pStyle w:val="ListParagraph"/>
                        <w:numPr>
                          <w:ilvl w:val="1"/>
                          <w:numId w:val="49"/>
                        </w:numPr>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lang w:eastAsia="ja-JP"/>
                        </w:rPr>
                        <w:t>Note: The term “</w:t>
                      </w:r>
                      <w:r w:rsidRPr="007A4B66">
                        <w:rPr>
                          <w:rStyle w:val="msoins0"/>
                          <w:rFonts w:ascii="Times New Roman" w:eastAsia="Times New Roman" w:hAnsi="Times New Roman" w:cs="Times New Roman"/>
                          <w:sz w:val="20"/>
                          <w:szCs w:val="20"/>
                        </w:rPr>
                        <w:t>beam misalignment</w:t>
                      </w:r>
                      <w:r w:rsidRPr="007A4B66">
                        <w:rPr>
                          <w:rFonts w:ascii="Times New Roman" w:hAnsi="Times New Roman" w:cs="Times New Roman"/>
                          <w:sz w:val="20"/>
                          <w:szCs w:val="20"/>
                          <w:lang w:eastAsia="ja-JP"/>
                        </w:rPr>
                        <w:t>” is for discussion purpose only</w:t>
                      </w:r>
                    </w:p>
                    <w:p w14:paraId="27CBDA35" w14:textId="77777777" w:rsidR="00E376B5" w:rsidRPr="007A4B66" w:rsidRDefault="00E376B5" w:rsidP="00C4412A">
                      <w:pPr>
                        <w:pStyle w:val="ListParagraph"/>
                        <w:numPr>
                          <w:ilvl w:val="0"/>
                          <w:numId w:val="49"/>
                        </w:numPr>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lang w:eastAsia="ja-JP"/>
                        </w:rPr>
                        <w:t>Whether it is ‘included in’ or ‘associated with’ (including the manner it is performed and the signaling) is up to RAN2</w:t>
                      </w:r>
                    </w:p>
                    <w:p w14:paraId="527EF8AC" w14:textId="77777777" w:rsidR="00E376B5" w:rsidRPr="007A4B66" w:rsidRDefault="00E376B5" w:rsidP="00C4412A">
                      <w:pPr>
                        <w:numPr>
                          <w:ilvl w:val="0"/>
                          <w:numId w:val="48"/>
                        </w:numPr>
                        <w:snapToGrid w:val="0"/>
                        <w:spacing w:after="0" w:line="240" w:lineRule="auto"/>
                        <w:jc w:val="both"/>
                        <w:rPr>
                          <w:rFonts w:ascii="Times New Roman" w:eastAsia="Times New Roman" w:hAnsi="Times New Roman" w:cs="Times New Roman"/>
                          <w:szCs w:val="20"/>
                        </w:rPr>
                      </w:pPr>
                      <w:r w:rsidRPr="007A4B66">
                        <w:rPr>
                          <w:rFonts w:ascii="Times New Roman" w:eastAsia="Times New Roman" w:hAnsi="Times New Roman" w:cs="Times New Roman"/>
                          <w:szCs w:val="20"/>
                        </w:rPr>
                        <w:t>The UE maintains the PL-RS of the activated UL TCI state or (if applicable) joint TCI state</w:t>
                      </w:r>
                    </w:p>
                    <w:p w14:paraId="6C16BB05" w14:textId="77777777" w:rsidR="00E376B5" w:rsidRPr="007A4B66" w:rsidRDefault="00E376B5" w:rsidP="00C4412A">
                      <w:pPr>
                        <w:numPr>
                          <w:ilvl w:val="0"/>
                          <w:numId w:val="48"/>
                        </w:numPr>
                        <w:snapToGrid w:val="0"/>
                        <w:spacing w:after="0" w:line="240" w:lineRule="auto"/>
                        <w:jc w:val="both"/>
                        <w:rPr>
                          <w:rFonts w:ascii="Times New Roman" w:eastAsia="Times New Roman" w:hAnsi="Times New Roman" w:cs="Times New Roman"/>
                          <w:szCs w:val="20"/>
                        </w:rPr>
                      </w:pPr>
                      <w:r w:rsidRPr="007A4B66">
                        <w:rPr>
                          <w:rFonts w:ascii="Times New Roman" w:eastAsia="Times New Roman" w:hAnsi="Times New Roman" w:cs="Times New Roman"/>
                          <w:szCs w:val="20"/>
                        </w:rPr>
                        <w:t>The maximum number of activated UL TCI states or (if applicable) joint TCI states per band per cell is a UE capability</w:t>
                      </w:r>
                    </w:p>
                    <w:p w14:paraId="3F11952B" w14:textId="77777777" w:rsidR="00E376B5" w:rsidRPr="007A4B66" w:rsidRDefault="00E376B5" w:rsidP="00C4412A">
                      <w:pPr>
                        <w:numPr>
                          <w:ilvl w:val="0"/>
                          <w:numId w:val="48"/>
                        </w:numPr>
                        <w:snapToGrid w:val="0"/>
                        <w:spacing w:after="0" w:line="240" w:lineRule="auto"/>
                        <w:jc w:val="both"/>
                        <w:rPr>
                          <w:rFonts w:ascii="Times New Roman" w:eastAsia="Times New Roman" w:hAnsi="Times New Roman" w:cs="Times New Roman"/>
                          <w:szCs w:val="20"/>
                          <w:lang w:eastAsia="ko-KR"/>
                        </w:rPr>
                      </w:pPr>
                      <w:r w:rsidRPr="007A4B66">
                        <w:rPr>
                          <w:rFonts w:ascii="Times New Roman" w:hAnsi="Times New Roman" w:cs="Times New Roman"/>
                          <w:szCs w:val="20"/>
                          <w:lang w:eastAsia="ja-JP"/>
                        </w:rPr>
                        <w:t xml:space="preserve">FFS: detailed aspects of PL-RS, </w:t>
                      </w:r>
                      <w:proofErr w:type="gramStart"/>
                      <w:r w:rsidRPr="007A4B66">
                        <w:rPr>
                          <w:rFonts w:ascii="Times New Roman" w:hAnsi="Times New Roman" w:cs="Times New Roman"/>
                          <w:szCs w:val="20"/>
                          <w:lang w:eastAsia="ja-JP"/>
                        </w:rPr>
                        <w:t>e.g.</w:t>
                      </w:r>
                      <w:proofErr w:type="gramEnd"/>
                      <w:r w:rsidRPr="007A4B66">
                        <w:rPr>
                          <w:rFonts w:ascii="Times New Roman" w:hAnsi="Times New Roman" w:cs="Times New Roman"/>
                          <w:szCs w:val="20"/>
                          <w:lang w:eastAsia="ja-JP"/>
                        </w:rPr>
                        <w:t xml:space="preserve"> CSI-RS type(s), restriction on configuration</w:t>
                      </w:r>
                    </w:p>
                    <w:p w14:paraId="20947142" w14:textId="77777777" w:rsidR="00E376B5" w:rsidRPr="007A4B66" w:rsidRDefault="00E376B5" w:rsidP="00C4412A">
                      <w:pPr>
                        <w:numPr>
                          <w:ilvl w:val="0"/>
                          <w:numId w:val="48"/>
                        </w:numPr>
                        <w:snapToGrid w:val="0"/>
                        <w:spacing w:after="0" w:line="240" w:lineRule="auto"/>
                        <w:jc w:val="both"/>
                        <w:rPr>
                          <w:rFonts w:ascii="Times New Roman" w:hAnsi="Times New Roman" w:cs="Times New Roman"/>
                          <w:szCs w:val="20"/>
                          <w:lang w:eastAsia="ja-JP"/>
                        </w:rPr>
                      </w:pPr>
                      <w:r w:rsidRPr="007A4B66">
                        <w:rPr>
                          <w:rFonts w:ascii="Times New Roman" w:hAnsi="Times New Roman" w:cs="Times New Roman"/>
                          <w:szCs w:val="20"/>
                          <w:lang w:eastAsia="ja-JP"/>
                        </w:rPr>
                        <w:t>FFS: For the definition of “</w:t>
                      </w:r>
                      <w:r w:rsidRPr="007A4B66">
                        <w:rPr>
                          <w:rStyle w:val="msoins0"/>
                          <w:rFonts w:ascii="Times New Roman" w:eastAsia="Times New Roman" w:hAnsi="Times New Roman" w:cs="Times New Roman"/>
                          <w:szCs w:val="20"/>
                        </w:rPr>
                        <w:t>beam misalignment</w:t>
                      </w:r>
                      <w:r w:rsidRPr="007A4B66">
                        <w:rPr>
                          <w:rFonts w:ascii="Times New Roman" w:hAnsi="Times New Roman" w:cs="Times New Roman"/>
                          <w:szCs w:val="20"/>
                          <w:lang w:eastAsia="ja-JP"/>
                        </w:rPr>
                        <w:t xml:space="preserve"> or not”, at least consider the case where the periodic DL source RS in</w:t>
                      </w:r>
                      <w:r w:rsidRPr="007A4B66">
                        <w:rPr>
                          <w:rFonts w:ascii="Times New Roman" w:hAnsi="Times New Roman" w:cs="Times New Roman"/>
                          <w:szCs w:val="20"/>
                        </w:rPr>
                        <w:t> </w:t>
                      </w:r>
                      <w:r w:rsidRPr="007A4B66">
                        <w:rPr>
                          <w:rFonts w:ascii="Times New Roman" w:hAnsi="Times New Roman" w:cs="Times New Roman"/>
                          <w:szCs w:val="20"/>
                          <w:lang w:eastAsia="ja-JP"/>
                        </w:rPr>
                        <w:t>the UL or (if applicable) joint TCI state to provide spatial relation indication is configured/associated as the PL-RS</w:t>
                      </w:r>
                    </w:p>
                    <w:p w14:paraId="1B3299DA" w14:textId="1B57BCD0" w:rsidR="00E376B5" w:rsidRPr="0014145E" w:rsidRDefault="00E376B5" w:rsidP="00C4412A">
                      <w:pPr>
                        <w:numPr>
                          <w:ilvl w:val="0"/>
                          <w:numId w:val="48"/>
                        </w:numPr>
                        <w:snapToGrid w:val="0"/>
                        <w:spacing w:after="0" w:line="240" w:lineRule="auto"/>
                        <w:jc w:val="both"/>
                        <w:rPr>
                          <w:rFonts w:ascii="Times New Roman" w:eastAsia="Malgun Gothic" w:hAnsi="Times New Roman" w:cs="Times New Roman"/>
                          <w:szCs w:val="20"/>
                          <w:lang w:eastAsia="ja-JP"/>
                        </w:rPr>
                      </w:pPr>
                      <w:r w:rsidRPr="007A4B66">
                        <w:rPr>
                          <w:rFonts w:ascii="Times New Roman" w:hAnsi="Times New Roman" w:cs="Times New Roman"/>
                          <w:szCs w:val="20"/>
                          <w:lang w:eastAsia="ja-JP"/>
                        </w:rPr>
                        <w:t>Note: PL-RS is assumed to be periodic</w:t>
                      </w:r>
                    </w:p>
                  </w:txbxContent>
                </v:textbox>
                <w10:anchorlock/>
              </v:shape>
            </w:pict>
          </mc:Fallback>
        </mc:AlternateContent>
      </w:r>
      <w:r w:rsidR="00450C2D" w:rsidRPr="00450C2D">
        <w:rPr>
          <w:lang w:val="en-GB" w:eastAsia="ja-JP"/>
        </w:rPr>
        <w:t xml:space="preserve"> </w:t>
      </w:r>
    </w:p>
    <w:p w14:paraId="2B4CF750" w14:textId="77777777" w:rsidR="0014145E" w:rsidRDefault="0014145E" w:rsidP="007073E3">
      <w:pPr>
        <w:rPr>
          <w:rFonts w:cs="Arial"/>
          <w:szCs w:val="20"/>
          <w:lang w:val="en-GB" w:eastAsia="ja-JP"/>
        </w:rPr>
      </w:pPr>
      <w:r>
        <w:rPr>
          <w:rFonts w:cs="Arial"/>
          <w:szCs w:val="20"/>
          <w:lang w:val="en-GB" w:eastAsia="ja-JP"/>
        </w:rPr>
        <w:t>One of the FFS mentions the detailed aspects of the PL-RS. In light of recent Rel-15 discussions on the PL RS, we propose to only allow SSB and single-port CSI-RS:</w:t>
      </w:r>
    </w:p>
    <w:p w14:paraId="7E8F51C7" w14:textId="329E99C3" w:rsidR="0014145E" w:rsidRDefault="0014145E" w:rsidP="0014145E">
      <w:pPr>
        <w:pStyle w:val="Proposal"/>
        <w:rPr>
          <w:lang w:val="en-GB" w:eastAsia="ja-JP"/>
        </w:rPr>
      </w:pPr>
      <w:bookmarkStart w:id="22" w:name="_Toc79658935"/>
      <w:r>
        <w:rPr>
          <w:lang w:val="en-GB" w:eastAsia="ja-JP"/>
        </w:rPr>
        <w:lastRenderedPageBreak/>
        <w:t>The PL-RS is either an SSB or a single-port CSI-RS.</w:t>
      </w:r>
      <w:bookmarkEnd w:id="22"/>
    </w:p>
    <w:p w14:paraId="6F565217" w14:textId="15569666" w:rsidR="0014145E" w:rsidRDefault="0014145E" w:rsidP="007073E3">
      <w:pPr>
        <w:rPr>
          <w:rFonts w:cs="Arial"/>
          <w:szCs w:val="20"/>
          <w:lang w:val="en-GB" w:eastAsia="ja-JP"/>
        </w:rPr>
      </w:pPr>
      <w:r>
        <w:rPr>
          <w:rFonts w:cs="Arial"/>
          <w:szCs w:val="20"/>
          <w:lang w:val="en-GB" w:eastAsia="ja-JP"/>
        </w:rPr>
        <w:t>Note that we have already agreed that the PL-RS is periodic.</w:t>
      </w:r>
    </w:p>
    <w:p w14:paraId="331EB9DE" w14:textId="4EA81A6D" w:rsidR="0014145E" w:rsidRDefault="0014145E" w:rsidP="007073E3">
      <w:pPr>
        <w:rPr>
          <w:rFonts w:cs="Arial"/>
          <w:szCs w:val="20"/>
          <w:lang w:val="en-GB" w:eastAsia="ja-JP"/>
        </w:rPr>
      </w:pPr>
      <w:r>
        <w:rPr>
          <w:rFonts w:cs="Arial"/>
          <w:szCs w:val="20"/>
          <w:lang w:val="en-GB" w:eastAsia="ja-JP"/>
        </w:rPr>
        <w:t>The following agreement was also reached:</w:t>
      </w:r>
    </w:p>
    <w:p w14:paraId="266DBAB2" w14:textId="77777777" w:rsidR="0014145E" w:rsidRPr="00450C2D" w:rsidRDefault="0014145E" w:rsidP="0014145E">
      <w:pPr>
        <w:pStyle w:val="BodyText"/>
      </w:pPr>
      <w:r w:rsidRPr="00450C2D">
        <w:rPr>
          <w:noProof/>
        </w:rPr>
        <mc:AlternateContent>
          <mc:Choice Requires="wps">
            <w:drawing>
              <wp:inline distT="0" distB="0" distL="0" distR="0" wp14:anchorId="5AA01654" wp14:editId="4A858249">
                <wp:extent cx="6146359" cy="771276"/>
                <wp:effectExtent l="0" t="0" r="26035" b="24765"/>
                <wp:docPr id="26" name="Text Box 26"/>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49BAED75" w14:textId="77777777" w:rsidR="00E376B5" w:rsidRPr="007A4B66" w:rsidRDefault="00E376B5" w:rsidP="0014145E">
                            <w:pPr>
                              <w:rPr>
                                <w:rFonts w:ascii="Times New Roman" w:hAnsi="Times New Roman" w:cs="Times New Roman"/>
                                <w:szCs w:val="20"/>
                                <w:lang w:eastAsia="zh-CN"/>
                              </w:rPr>
                            </w:pPr>
                            <w:r w:rsidRPr="007A4B66">
                              <w:rPr>
                                <w:rStyle w:val="Strong"/>
                                <w:rFonts w:ascii="Times New Roman" w:hAnsi="Times New Roman" w:cs="Times New Roman"/>
                                <w:color w:val="000000"/>
                                <w:szCs w:val="20"/>
                                <w:highlight w:val="green"/>
                              </w:rPr>
                              <w:t>Agreement</w:t>
                            </w:r>
                          </w:p>
                          <w:p w14:paraId="23348247" w14:textId="77777777" w:rsidR="00E376B5" w:rsidRPr="007A4B66" w:rsidRDefault="00E376B5" w:rsidP="0014145E">
                            <w:pPr>
                              <w:pStyle w:val="NormalWeb"/>
                              <w:snapToGrid w:val="0"/>
                              <w:spacing w:after="0"/>
                              <w:jc w:val="both"/>
                              <w:rPr>
                                <w:sz w:val="20"/>
                                <w:szCs w:val="20"/>
                              </w:rPr>
                            </w:pPr>
                            <w:r w:rsidRPr="007A4B66">
                              <w:rPr>
                                <w:sz w:val="20"/>
                                <w:szCs w:val="20"/>
                              </w:rPr>
                              <w:t>On the setting of UL PC parameters except for PL-RS (P0, alpha, closed loop index) for Rel.17 unified TCI framework,</w:t>
                            </w:r>
                          </w:p>
                          <w:p w14:paraId="307694A4" w14:textId="77777777" w:rsidR="00E376B5" w:rsidRPr="007A4B66" w:rsidRDefault="00E376B5" w:rsidP="00C4412A">
                            <w:pPr>
                              <w:numPr>
                                <w:ilvl w:val="0"/>
                                <w:numId w:val="48"/>
                              </w:numPr>
                              <w:spacing w:after="0" w:line="240" w:lineRule="auto"/>
                              <w:rPr>
                                <w:rFonts w:ascii="Times New Roman" w:hAnsi="Times New Roman" w:cs="Times New Roman"/>
                                <w:szCs w:val="20"/>
                              </w:rPr>
                            </w:pPr>
                            <w:r w:rsidRPr="007A4B66">
                              <w:rPr>
                                <w:rFonts w:ascii="Times New Roman" w:hAnsi="Times New Roman" w:cs="Times New Roman"/>
                                <w:szCs w:val="20"/>
                              </w:rPr>
                              <w:t xml:space="preserve">For each of PUSCH and PUCCH, the setting of (P0, alpha, closed loop index) can be associated with UL or (if applicable) joint TCI state per BWP. </w:t>
                            </w:r>
                          </w:p>
                          <w:p w14:paraId="50312FEB" w14:textId="77777777" w:rsidR="00E376B5" w:rsidRPr="007A4B66" w:rsidRDefault="00E376B5" w:rsidP="00C4412A">
                            <w:pPr>
                              <w:numPr>
                                <w:ilvl w:val="1"/>
                                <w:numId w:val="48"/>
                              </w:numPr>
                              <w:spacing w:after="0" w:line="240" w:lineRule="auto"/>
                              <w:rPr>
                                <w:rFonts w:ascii="Times New Roman" w:hAnsi="Times New Roman" w:cs="Times New Roman"/>
                                <w:szCs w:val="20"/>
                              </w:rPr>
                            </w:pPr>
                            <w:r w:rsidRPr="007A4B66">
                              <w:rPr>
                                <w:rFonts w:ascii="Times New Roman" w:hAnsi="Times New Roman" w:cs="Times New Roman"/>
                                <w:szCs w:val="20"/>
                              </w:rPr>
                              <w:t xml:space="preserve">In this case, multiple settings are configured. Each setting can be associated with at least one TCI state, and, for a given TCI state, only one setting for PUSCH and only one setting for PUCCH can be associated at a time. </w:t>
                            </w:r>
                          </w:p>
                          <w:p w14:paraId="0A082A22" w14:textId="77777777" w:rsidR="00E376B5" w:rsidRPr="007A4B66" w:rsidRDefault="00E376B5" w:rsidP="00C4412A">
                            <w:pPr>
                              <w:numPr>
                                <w:ilvl w:val="1"/>
                                <w:numId w:val="48"/>
                              </w:numPr>
                              <w:spacing w:after="0" w:line="240" w:lineRule="auto"/>
                              <w:rPr>
                                <w:rFonts w:ascii="Times New Roman" w:hAnsi="Times New Roman" w:cs="Times New Roman"/>
                                <w:szCs w:val="20"/>
                              </w:rPr>
                            </w:pPr>
                            <w:r w:rsidRPr="007A4B66">
                              <w:rPr>
                                <w:rFonts w:ascii="Times New Roman" w:hAnsi="Times New Roman" w:cs="Times New Roman"/>
                                <w:szCs w:val="20"/>
                                <w:highlight w:val="darkYellow"/>
                              </w:rPr>
                              <w:t>(Working Assumption)</w:t>
                            </w:r>
                            <w:r w:rsidRPr="007A4B66">
                              <w:rPr>
                                <w:rFonts w:ascii="Times New Roman" w:hAnsi="Times New Roman" w:cs="Times New Roman"/>
                                <w:szCs w:val="20"/>
                              </w:rPr>
                              <w:t xml:space="preserve"> In this case, for each of the PUSCH and PUCCH, each of the activated UL or (if applicable) joint TCI states is associated with one of the settings.</w:t>
                            </w:r>
                          </w:p>
                          <w:p w14:paraId="76451312" w14:textId="77777777" w:rsidR="00E376B5" w:rsidRPr="007A4B66" w:rsidRDefault="00E376B5" w:rsidP="00C4412A">
                            <w:pPr>
                              <w:numPr>
                                <w:ilvl w:val="0"/>
                                <w:numId w:val="48"/>
                              </w:numPr>
                              <w:spacing w:after="0" w:line="240" w:lineRule="auto"/>
                              <w:rPr>
                                <w:rFonts w:ascii="Times New Roman" w:hAnsi="Times New Roman" w:cs="Times New Roman"/>
                                <w:szCs w:val="20"/>
                              </w:rPr>
                            </w:pPr>
                            <w:r w:rsidRPr="007A4B66">
                              <w:rPr>
                                <w:rFonts w:ascii="Times New Roman" w:hAnsi="Times New Roman" w:cs="Times New Roman"/>
                                <w:szCs w:val="20"/>
                              </w:rPr>
                              <w:t>If not associated, for each of the PUSCH and PUCCH, the setting(s) of (P0, alpha, closed loop index) per channel/signal per BWP is independent of the UL or (if applicable) joint TCI states</w:t>
                            </w:r>
                          </w:p>
                          <w:p w14:paraId="52F986A2" w14:textId="77777777" w:rsidR="00E376B5" w:rsidRPr="007A4B66" w:rsidRDefault="00E376B5" w:rsidP="00C4412A">
                            <w:pPr>
                              <w:numPr>
                                <w:ilvl w:val="0"/>
                                <w:numId w:val="48"/>
                              </w:numPr>
                              <w:spacing w:after="0" w:line="240" w:lineRule="auto"/>
                              <w:rPr>
                                <w:rFonts w:ascii="Times New Roman" w:hAnsi="Times New Roman" w:cs="Times New Roman"/>
                                <w:szCs w:val="20"/>
                              </w:rPr>
                            </w:pPr>
                            <w:r w:rsidRPr="007A4B66">
                              <w:rPr>
                                <w:rFonts w:ascii="Times New Roman" w:hAnsi="Times New Roman" w:cs="Times New Roman"/>
                                <w:szCs w:val="20"/>
                              </w:rPr>
                              <w:t>FFS: If the setting of (P0, alpha, closed loop index) for SRS can also be associated with UL or (if applicable) joint TCI state.</w:t>
                            </w:r>
                          </w:p>
                          <w:p w14:paraId="246A8B46" w14:textId="0FFA2226" w:rsidR="00E376B5" w:rsidRPr="0014145E" w:rsidRDefault="00E376B5" w:rsidP="00C4412A">
                            <w:pPr>
                              <w:numPr>
                                <w:ilvl w:val="0"/>
                                <w:numId w:val="48"/>
                              </w:numPr>
                              <w:spacing w:after="0" w:line="240" w:lineRule="auto"/>
                              <w:rPr>
                                <w:rFonts w:ascii="Times New Roman" w:hAnsi="Times New Roman" w:cs="Times New Roman"/>
                                <w:szCs w:val="20"/>
                              </w:rPr>
                            </w:pPr>
                            <w:r w:rsidRPr="007A4B66">
                              <w:rPr>
                                <w:rFonts w:ascii="Times New Roman" w:hAnsi="Times New Roman" w:cs="Times New Roman"/>
                                <w:szCs w:val="20"/>
                              </w:rPr>
                              <w:t>FFS: (to be decided in RAN1#106-e) whether to configure the same setting of (P0, alpha, closed loop index) per TCI state across channels and apply a channel dependent component, or configure a channel dependent setting of (P0, alpha, closed loop index) per TCI state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AA01654" id="Text Box 26" o:spid="_x0000_s1035"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" fillcolor="white [3201]" strokeweight=".5pt">
                <v:textbox style="mso-fit-shape-to-text:t">
                  <w:txbxContent>
                    <w:p w14:paraId="49BAED75" w14:textId="77777777" w:rsidR="00E376B5" w:rsidRPr="007A4B66" w:rsidRDefault="00E376B5" w:rsidP="0014145E">
                      <w:pPr>
                        <w:rPr>
                          <w:rFonts w:ascii="Times New Roman" w:hAnsi="Times New Roman" w:cs="Times New Roman"/>
                          <w:szCs w:val="20"/>
                          <w:lang w:eastAsia="zh-CN"/>
                        </w:rPr>
                      </w:pPr>
                      <w:r w:rsidRPr="007A4B66">
                        <w:rPr>
                          <w:rStyle w:val="Strong"/>
                          <w:rFonts w:ascii="Times New Roman" w:hAnsi="Times New Roman" w:cs="Times New Roman"/>
                          <w:color w:val="000000"/>
                          <w:szCs w:val="20"/>
                          <w:highlight w:val="green"/>
                        </w:rPr>
                        <w:t>Agreement</w:t>
                      </w:r>
                    </w:p>
                    <w:p w14:paraId="23348247" w14:textId="77777777" w:rsidR="00E376B5" w:rsidRPr="007A4B66" w:rsidRDefault="00E376B5" w:rsidP="0014145E">
                      <w:pPr>
                        <w:pStyle w:val="NormalWeb"/>
                        <w:snapToGrid w:val="0"/>
                        <w:spacing w:after="0"/>
                        <w:jc w:val="both"/>
                        <w:rPr>
                          <w:sz w:val="20"/>
                          <w:szCs w:val="20"/>
                        </w:rPr>
                      </w:pPr>
                      <w:r w:rsidRPr="007A4B66">
                        <w:rPr>
                          <w:sz w:val="20"/>
                          <w:szCs w:val="20"/>
                        </w:rPr>
                        <w:t>On the setting of UL PC parameters except for PL-RS (P0, alpha, closed loop index) for Rel.17 unified TCI framework,</w:t>
                      </w:r>
                    </w:p>
                    <w:p w14:paraId="307694A4" w14:textId="77777777" w:rsidR="00E376B5" w:rsidRPr="007A4B66" w:rsidRDefault="00E376B5" w:rsidP="00C4412A">
                      <w:pPr>
                        <w:numPr>
                          <w:ilvl w:val="0"/>
                          <w:numId w:val="48"/>
                        </w:numPr>
                        <w:spacing w:after="0" w:line="240" w:lineRule="auto"/>
                        <w:rPr>
                          <w:rFonts w:ascii="Times New Roman" w:hAnsi="Times New Roman" w:cs="Times New Roman"/>
                          <w:szCs w:val="20"/>
                        </w:rPr>
                      </w:pPr>
                      <w:r w:rsidRPr="007A4B66">
                        <w:rPr>
                          <w:rFonts w:ascii="Times New Roman" w:hAnsi="Times New Roman" w:cs="Times New Roman"/>
                          <w:szCs w:val="20"/>
                        </w:rPr>
                        <w:t xml:space="preserve">For each of PUSCH and PUCCH, the setting of (P0, alpha, closed loop index) can be associated with UL or (if applicable) joint TCI state per BWP. </w:t>
                      </w:r>
                    </w:p>
                    <w:p w14:paraId="50312FEB" w14:textId="77777777" w:rsidR="00E376B5" w:rsidRPr="007A4B66" w:rsidRDefault="00E376B5" w:rsidP="00C4412A">
                      <w:pPr>
                        <w:numPr>
                          <w:ilvl w:val="1"/>
                          <w:numId w:val="48"/>
                        </w:numPr>
                        <w:spacing w:after="0" w:line="240" w:lineRule="auto"/>
                        <w:rPr>
                          <w:rFonts w:ascii="Times New Roman" w:hAnsi="Times New Roman" w:cs="Times New Roman"/>
                          <w:szCs w:val="20"/>
                        </w:rPr>
                      </w:pPr>
                      <w:r w:rsidRPr="007A4B66">
                        <w:rPr>
                          <w:rFonts w:ascii="Times New Roman" w:hAnsi="Times New Roman" w:cs="Times New Roman"/>
                          <w:szCs w:val="20"/>
                        </w:rPr>
                        <w:t xml:space="preserve">In this case, multiple settings are configured. Each setting can be associated with at least one TCI state, and, for a given TCI state, only one setting for PUSCH and only one setting for PUCCH can be associated at a time. </w:t>
                      </w:r>
                    </w:p>
                    <w:p w14:paraId="0A082A22" w14:textId="77777777" w:rsidR="00E376B5" w:rsidRPr="007A4B66" w:rsidRDefault="00E376B5" w:rsidP="00C4412A">
                      <w:pPr>
                        <w:numPr>
                          <w:ilvl w:val="1"/>
                          <w:numId w:val="48"/>
                        </w:numPr>
                        <w:spacing w:after="0" w:line="240" w:lineRule="auto"/>
                        <w:rPr>
                          <w:rFonts w:ascii="Times New Roman" w:hAnsi="Times New Roman" w:cs="Times New Roman"/>
                          <w:szCs w:val="20"/>
                        </w:rPr>
                      </w:pPr>
                      <w:r w:rsidRPr="007A4B66">
                        <w:rPr>
                          <w:rFonts w:ascii="Times New Roman" w:hAnsi="Times New Roman" w:cs="Times New Roman"/>
                          <w:szCs w:val="20"/>
                          <w:highlight w:val="darkYellow"/>
                        </w:rPr>
                        <w:t>(Working Assumption)</w:t>
                      </w:r>
                      <w:r w:rsidRPr="007A4B66">
                        <w:rPr>
                          <w:rFonts w:ascii="Times New Roman" w:hAnsi="Times New Roman" w:cs="Times New Roman"/>
                          <w:szCs w:val="20"/>
                        </w:rPr>
                        <w:t xml:space="preserve"> In this case, for each of the PUSCH and PUCCH, each of the activated UL or (if applicable) joint TCI states </w:t>
                      </w:r>
                      <w:proofErr w:type="gramStart"/>
                      <w:r w:rsidRPr="007A4B66">
                        <w:rPr>
                          <w:rFonts w:ascii="Times New Roman" w:hAnsi="Times New Roman" w:cs="Times New Roman"/>
                          <w:szCs w:val="20"/>
                        </w:rPr>
                        <w:t>is</w:t>
                      </w:r>
                      <w:proofErr w:type="gramEnd"/>
                      <w:r w:rsidRPr="007A4B66">
                        <w:rPr>
                          <w:rFonts w:ascii="Times New Roman" w:hAnsi="Times New Roman" w:cs="Times New Roman"/>
                          <w:szCs w:val="20"/>
                        </w:rPr>
                        <w:t xml:space="preserve"> associated with one of the settings.</w:t>
                      </w:r>
                    </w:p>
                    <w:p w14:paraId="76451312" w14:textId="77777777" w:rsidR="00E376B5" w:rsidRPr="007A4B66" w:rsidRDefault="00E376B5" w:rsidP="00C4412A">
                      <w:pPr>
                        <w:numPr>
                          <w:ilvl w:val="0"/>
                          <w:numId w:val="48"/>
                        </w:numPr>
                        <w:spacing w:after="0" w:line="240" w:lineRule="auto"/>
                        <w:rPr>
                          <w:rFonts w:ascii="Times New Roman" w:hAnsi="Times New Roman" w:cs="Times New Roman"/>
                          <w:szCs w:val="20"/>
                        </w:rPr>
                      </w:pPr>
                      <w:r w:rsidRPr="007A4B66">
                        <w:rPr>
                          <w:rFonts w:ascii="Times New Roman" w:hAnsi="Times New Roman" w:cs="Times New Roman"/>
                          <w:szCs w:val="20"/>
                        </w:rPr>
                        <w:t>If not associated, for each of the PUSCH and PUCCH, the setting(s) of (P0, alpha, closed loop index) per channel/signal per BWP is independent of the UL or (if applicable) joint TCI states</w:t>
                      </w:r>
                    </w:p>
                    <w:p w14:paraId="52F986A2" w14:textId="77777777" w:rsidR="00E376B5" w:rsidRPr="007A4B66" w:rsidRDefault="00E376B5" w:rsidP="00C4412A">
                      <w:pPr>
                        <w:numPr>
                          <w:ilvl w:val="0"/>
                          <w:numId w:val="48"/>
                        </w:numPr>
                        <w:spacing w:after="0" w:line="240" w:lineRule="auto"/>
                        <w:rPr>
                          <w:rFonts w:ascii="Times New Roman" w:hAnsi="Times New Roman" w:cs="Times New Roman"/>
                          <w:szCs w:val="20"/>
                        </w:rPr>
                      </w:pPr>
                      <w:r w:rsidRPr="007A4B66">
                        <w:rPr>
                          <w:rFonts w:ascii="Times New Roman" w:hAnsi="Times New Roman" w:cs="Times New Roman"/>
                          <w:szCs w:val="20"/>
                        </w:rPr>
                        <w:t>FFS: If the setting of (P0, alpha, closed loop index) for SRS can also be associated with UL or (if applicable) joint TCI state.</w:t>
                      </w:r>
                    </w:p>
                    <w:p w14:paraId="246A8B46" w14:textId="0FFA2226" w:rsidR="00E376B5" w:rsidRPr="0014145E" w:rsidRDefault="00E376B5" w:rsidP="00C4412A">
                      <w:pPr>
                        <w:numPr>
                          <w:ilvl w:val="0"/>
                          <w:numId w:val="48"/>
                        </w:numPr>
                        <w:spacing w:after="0" w:line="240" w:lineRule="auto"/>
                        <w:rPr>
                          <w:rFonts w:ascii="Times New Roman" w:hAnsi="Times New Roman" w:cs="Times New Roman"/>
                          <w:szCs w:val="20"/>
                        </w:rPr>
                      </w:pPr>
                      <w:r w:rsidRPr="007A4B66">
                        <w:rPr>
                          <w:rFonts w:ascii="Times New Roman" w:hAnsi="Times New Roman" w:cs="Times New Roman"/>
                          <w:szCs w:val="20"/>
                        </w:rPr>
                        <w:t>FFS: (to be decided in RAN1#106-e) whether to configure the same setting of (P0, alpha, closed loop index) per TCI state across channels and apply a channel dependent component, or configure a channel dependent setting of (P0, alpha, closed loop index) per TCI state</w:t>
                      </w:r>
                    </w:p>
                  </w:txbxContent>
                </v:textbox>
                <w10:anchorlock/>
              </v:shape>
            </w:pict>
          </mc:Fallback>
        </mc:AlternateContent>
      </w:r>
      <w:r w:rsidRPr="00450C2D">
        <w:rPr>
          <w:lang w:val="en-GB" w:eastAsia="ja-JP"/>
        </w:rPr>
        <w:t xml:space="preserve"> </w:t>
      </w:r>
    </w:p>
    <w:p w14:paraId="210FDF53" w14:textId="78961C68" w:rsidR="0014145E" w:rsidRDefault="00B97D1D" w:rsidP="007073E3">
      <w:pPr>
        <w:rPr>
          <w:rFonts w:cs="Arial"/>
          <w:szCs w:val="20"/>
          <w:lang w:val="en-GB" w:eastAsia="ja-JP"/>
        </w:rPr>
      </w:pPr>
      <w:r>
        <w:rPr>
          <w:rFonts w:cs="Arial"/>
          <w:szCs w:val="20"/>
          <w:lang w:val="en-GB" w:eastAsia="ja-JP"/>
        </w:rPr>
        <w:t>We propose to confirm the WA.</w:t>
      </w:r>
    </w:p>
    <w:p w14:paraId="31CCBF4A" w14:textId="12D838F7" w:rsidR="00B97D1D" w:rsidRDefault="00B97D1D" w:rsidP="007073E3">
      <w:pPr>
        <w:rPr>
          <w:rFonts w:cs="Arial"/>
          <w:szCs w:val="20"/>
          <w:lang w:val="en-GB" w:eastAsia="ja-JP"/>
        </w:rPr>
      </w:pPr>
      <w:r>
        <w:rPr>
          <w:rFonts w:cs="Arial"/>
          <w:szCs w:val="20"/>
          <w:lang w:val="en-GB" w:eastAsia="ja-JP"/>
        </w:rPr>
        <w:t>Since SRS is also using the unified TCI framework, it would seem natural to use the same configuration mechanism also for SRS:</w:t>
      </w:r>
    </w:p>
    <w:p w14:paraId="0C0E204B" w14:textId="7F3F1542" w:rsidR="00B97D1D" w:rsidRPr="00B97D1D" w:rsidRDefault="00B97D1D" w:rsidP="00B97D1D">
      <w:pPr>
        <w:pStyle w:val="Proposal"/>
        <w:rPr>
          <w:lang w:val="en-GB" w:eastAsia="ja-JP"/>
        </w:rPr>
      </w:pPr>
      <w:bookmarkStart w:id="23" w:name="_Toc79658936"/>
      <w:r w:rsidRPr="0043651E">
        <w:t>The setting of (P0, alpha, closed loop index) for SRS can be associated with UL or (if applicable) joint TCI state</w:t>
      </w:r>
      <w:r>
        <w:rPr>
          <w:rFonts w:ascii="Times New Roman" w:hAnsi="Times New Roman" w:cs="Times New Roman"/>
        </w:rPr>
        <w:t>.</w:t>
      </w:r>
      <w:bookmarkEnd w:id="23"/>
    </w:p>
    <w:p w14:paraId="7D22315F" w14:textId="11C048B5" w:rsidR="00B97D1D" w:rsidRDefault="00B97D1D" w:rsidP="00B97D1D">
      <w:pPr>
        <w:pStyle w:val="BodyText"/>
        <w:rPr>
          <w:lang w:val="en-GB" w:eastAsia="ja-JP"/>
        </w:rPr>
      </w:pPr>
      <w:r>
        <w:rPr>
          <w:lang w:val="en-GB" w:eastAsia="ja-JP"/>
        </w:rPr>
        <w:t>We do not see that there is any benefit to use channel dependent settings: it is only more difficult to understand. Hence, we propose</w:t>
      </w:r>
    </w:p>
    <w:p w14:paraId="3C8360CF" w14:textId="5571B26D" w:rsidR="0014145E" w:rsidRPr="0043651E" w:rsidRDefault="00B97D1D" w:rsidP="0043651E">
      <w:pPr>
        <w:pStyle w:val="Proposal"/>
      </w:pPr>
      <w:bookmarkStart w:id="24" w:name="_Toc79658937"/>
      <w:r w:rsidRPr="0043651E">
        <w:t>(P0, alpha, closed loop index) are independently configured for PUSCH, PUCCH and SRS.</w:t>
      </w:r>
      <w:bookmarkEnd w:id="24"/>
    </w:p>
    <w:p w14:paraId="41430D73" w14:textId="7BEC4124" w:rsidR="00D777D8" w:rsidRDefault="00D777D8" w:rsidP="00D777D8">
      <w:pPr>
        <w:pStyle w:val="Heading2"/>
      </w:pPr>
      <w:r>
        <w:t>2.2</w:t>
      </w:r>
      <w:r>
        <w:tab/>
      </w:r>
      <w:r w:rsidR="00415EA2">
        <w:t>Inter-cell beam management</w:t>
      </w:r>
    </w:p>
    <w:p w14:paraId="29B257C4" w14:textId="43BE02E0" w:rsidR="007819E3" w:rsidRPr="007A4FC4" w:rsidRDefault="00415EA2" w:rsidP="007819E3">
      <w:pPr>
        <w:rPr>
          <w:lang w:val="en-GB" w:eastAsia="ja-JP"/>
        </w:rPr>
      </w:pPr>
      <w:r>
        <w:rPr>
          <w:lang w:val="en-GB" w:eastAsia="ja-JP"/>
        </w:rPr>
        <w:t>In the latest revision of the WID, inter-cell beam management</w:t>
      </w:r>
      <w:r w:rsidR="007819E3" w:rsidRPr="007A4FC4">
        <w:rPr>
          <w:lang w:val="en-GB" w:eastAsia="ja-JP"/>
        </w:rPr>
        <w:t xml:space="preserve"> is mentioned:</w:t>
      </w:r>
    </w:p>
    <w:p w14:paraId="39DDC43C" w14:textId="77777777" w:rsidR="007819E3" w:rsidRPr="007A4FC4" w:rsidRDefault="007819E3" w:rsidP="007819E3">
      <w:r w:rsidRPr="007A4FC4">
        <w:rPr>
          <w:rFonts w:ascii="Times New Roman" w:hAnsi="Times New Roman" w:cs="Times New Roman"/>
          <w:noProof/>
        </w:rPr>
        <mc:AlternateContent>
          <mc:Choice Requires="wps">
            <w:drawing>
              <wp:inline distT="0" distB="0" distL="0" distR="0" wp14:anchorId="1D1B5821" wp14:editId="3D10B3DE">
                <wp:extent cx="6120765" cy="356870"/>
                <wp:effectExtent l="0" t="0" r="13335" b="24130"/>
                <wp:docPr id="22" name="Text Box 22"/>
                <wp:cNvGraphicFramePr/>
                <a:graphic xmlns:a="http://schemas.openxmlformats.org/drawingml/2006/main">
                  <a:graphicData uri="http://schemas.microsoft.com/office/word/2010/wordprocessingShape">
                    <wps:wsp>
                      <wps:cNvSpPr txBox="1"/>
                      <wps:spPr>
                        <a:xfrm>
                          <a:off x="0" y="0"/>
                          <a:ext cx="6120765" cy="356870"/>
                        </a:xfrm>
                        <a:prstGeom prst="rect">
                          <a:avLst/>
                        </a:prstGeom>
                        <a:solidFill>
                          <a:schemeClr val="lt1"/>
                        </a:solidFill>
                        <a:ln w="6350">
                          <a:solidFill>
                            <a:prstClr val="black"/>
                          </a:solidFill>
                        </a:ln>
                      </wps:spPr>
                      <wps:txbx>
                        <w:txbxContent>
                          <w:p w14:paraId="05ED0E1B" w14:textId="77777777" w:rsidR="00E376B5" w:rsidRPr="00415EA2" w:rsidRDefault="00E376B5" w:rsidP="00C4412A">
                            <w:pPr>
                              <w:pStyle w:val="ListParagraph"/>
                              <w:numPr>
                                <w:ilvl w:val="0"/>
                                <w:numId w:val="41"/>
                              </w:numPr>
                              <w:spacing w:line="240" w:lineRule="auto"/>
                              <w:ind w:left="360"/>
                              <w:jc w:val="both"/>
                              <w:rPr>
                                <w:rFonts w:ascii="Times New Roman" w:hAnsi="Times New Roman" w:cs="Times New Roman"/>
                                <w:sz w:val="20"/>
                                <w:szCs w:val="20"/>
                              </w:rPr>
                            </w:pPr>
                            <w:r w:rsidRPr="00415EA2">
                              <w:rPr>
                                <w:rFonts w:ascii="Times New Roman" w:hAnsi="Times New Roman" w:cs="Times New Roman"/>
                                <w:sz w:val="20"/>
                                <w:szCs w:val="20"/>
                              </w:rPr>
                              <w:t xml:space="preserve">Enhancement on multi-beam operation, mainly targeting FR2 while also applicable to FR1: </w:t>
                            </w:r>
                          </w:p>
                          <w:p w14:paraId="7242C8B2" w14:textId="72FC2770" w:rsidR="00E376B5" w:rsidRPr="00415EA2" w:rsidRDefault="00E376B5" w:rsidP="00C4412A">
                            <w:pPr>
                              <w:pStyle w:val="ListParagraph"/>
                              <w:numPr>
                                <w:ilvl w:val="1"/>
                                <w:numId w:val="41"/>
                              </w:numPr>
                              <w:spacing w:line="240" w:lineRule="auto"/>
                              <w:ind w:left="720"/>
                              <w:jc w:val="both"/>
                              <w:rPr>
                                <w:rFonts w:ascii="Times New Roman" w:hAnsi="Times New Roman" w:cs="Times New Roman"/>
                                <w:sz w:val="20"/>
                                <w:szCs w:val="20"/>
                              </w:rPr>
                            </w:pPr>
                            <w:r w:rsidRPr="00415EA2">
                              <w:rPr>
                                <w:rFonts w:ascii="Times New Roman" w:hAnsi="Times New Roman" w:cs="Times New Roman"/>
                                <w:sz w:val="20"/>
                                <w:szCs w:val="20"/>
                              </w:rPr>
                              <w:t xml:space="preserve">Identify and specify features to facilitate more efficient (lower latency and overhead) DL/UL beam management </w:t>
                            </w:r>
                            <w:r w:rsidRPr="00415EA2">
                              <w:rPr>
                                <w:rFonts w:ascii="Times New Roman" w:eastAsia="Times New Roman" w:hAnsi="Times New Roman" w:cs="Times New Roman"/>
                                <w:sz w:val="20"/>
                                <w:szCs w:val="20"/>
                              </w:rPr>
                              <w:t xml:space="preserve">for intra-cell and inter-cell scenarios </w:t>
                            </w:r>
                            <w:r w:rsidRPr="00415EA2">
                              <w:rPr>
                                <w:rFonts w:ascii="Times New Roman" w:hAnsi="Times New Roman" w:cs="Times New Roman"/>
                                <w:sz w:val="20"/>
                                <w:szCs w:val="20"/>
                              </w:rPr>
                              <w:t>to support higher UE speed and/or a larger number of configured TCI states:</w:t>
                            </w:r>
                          </w:p>
                          <w:p w14:paraId="071A38EC" w14:textId="77777777" w:rsidR="00E376B5" w:rsidRPr="00415EA2" w:rsidRDefault="00E376B5" w:rsidP="00C4412A">
                            <w:pPr>
                              <w:pStyle w:val="ListParagraph"/>
                              <w:numPr>
                                <w:ilvl w:val="2"/>
                                <w:numId w:val="41"/>
                              </w:numPr>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Common beam for data and control transmission/reception for DL and UL, especially for intra-band CA</w:t>
                            </w:r>
                          </w:p>
                          <w:p w14:paraId="14066AB6" w14:textId="77777777" w:rsidR="00E376B5" w:rsidRPr="00415EA2" w:rsidRDefault="00E376B5" w:rsidP="00C4412A">
                            <w:pPr>
                              <w:pStyle w:val="ListParagraph"/>
                              <w:numPr>
                                <w:ilvl w:val="2"/>
                                <w:numId w:val="41"/>
                              </w:numPr>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Unified TCI framework for DL and UL beam indication</w:t>
                            </w:r>
                          </w:p>
                          <w:p w14:paraId="55388BB4" w14:textId="77777777" w:rsidR="00E376B5" w:rsidRPr="00415EA2" w:rsidRDefault="00E376B5" w:rsidP="00C4412A">
                            <w:pPr>
                              <w:pStyle w:val="ListParagraph"/>
                              <w:numPr>
                                <w:ilvl w:val="2"/>
                                <w:numId w:val="41"/>
                              </w:numPr>
                              <w:snapToGrid w:val="0"/>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Enhancement on signaling mechanisms for the above features to improve latency and efficiency with more usage of dynamic control signaling (as opposed to RRC)</w:t>
                            </w:r>
                          </w:p>
                          <w:p w14:paraId="75544C15" w14:textId="77777777" w:rsidR="00E376B5" w:rsidRPr="00415EA2" w:rsidRDefault="00E376B5" w:rsidP="00C4412A">
                            <w:pPr>
                              <w:pStyle w:val="ListParagraph"/>
                              <w:numPr>
                                <w:ilvl w:val="2"/>
                                <w:numId w:val="41"/>
                              </w:numPr>
                              <w:snapToGrid w:val="0"/>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 xml:space="preserve">For inter-cell beam management, a UE can transmit to or receive from only a single cell (i.e. serving cell does not change when beam selection is done). This includes L1-only measurement/reporting (i.e. no L3 impact) and </w:t>
                            </w:r>
                            <w:bookmarkStart w:id="25" w:name="_Hlk78808929"/>
                            <w:r w:rsidRPr="00415EA2">
                              <w:rPr>
                                <w:rFonts w:ascii="Times New Roman" w:hAnsi="Times New Roman" w:cs="Times New Roman"/>
                                <w:sz w:val="20"/>
                                <w:szCs w:val="20"/>
                              </w:rPr>
                              <w:t>beam indication associated with cell(s) with any Physical Cell ID(s)</w:t>
                            </w:r>
                            <w:bookmarkEnd w:id="25"/>
                            <w:r w:rsidRPr="00415EA2">
                              <w:rPr>
                                <w:rFonts w:ascii="Times New Roman" w:hAnsi="Times New Roman" w:cs="Times New Roman"/>
                                <w:sz w:val="20"/>
                                <w:szCs w:val="20"/>
                              </w:rPr>
                              <w:t xml:space="preserve"> </w:t>
                            </w:r>
                          </w:p>
                          <w:p w14:paraId="3DF7BDB6" w14:textId="77777777" w:rsidR="00E376B5" w:rsidRPr="00415EA2" w:rsidRDefault="00E376B5" w:rsidP="00C4412A">
                            <w:pPr>
                              <w:numPr>
                                <w:ilvl w:val="0"/>
                                <w:numId w:val="42"/>
                              </w:numPr>
                              <w:overflowPunct w:val="0"/>
                              <w:autoSpaceDE w:val="0"/>
                              <w:autoSpaceDN w:val="0"/>
                              <w:snapToGrid w:val="0"/>
                              <w:spacing w:after="0" w:line="240" w:lineRule="auto"/>
                              <w:ind w:left="1440"/>
                              <w:textAlignment w:val="baseline"/>
                              <w:rPr>
                                <w:rFonts w:ascii="Times New Roman" w:hAnsi="Times New Roman" w:cs="Times New Roman"/>
                                <w:szCs w:val="20"/>
                              </w:rPr>
                            </w:pPr>
                            <w:r w:rsidRPr="00415EA2">
                              <w:rPr>
                                <w:rFonts w:ascii="Times New Roman" w:hAnsi="Times New Roman" w:cs="Times New Roman"/>
                                <w:szCs w:val="20"/>
                              </w:rPr>
                              <w:t>The beam indication is based on Rel-17 unified TCI framework</w:t>
                            </w:r>
                          </w:p>
                          <w:p w14:paraId="6435C129" w14:textId="77777777" w:rsidR="00E376B5" w:rsidRPr="00415EA2" w:rsidRDefault="00E376B5" w:rsidP="00C4412A">
                            <w:pPr>
                              <w:numPr>
                                <w:ilvl w:val="0"/>
                                <w:numId w:val="42"/>
                              </w:numPr>
                              <w:overflowPunct w:val="0"/>
                              <w:autoSpaceDE w:val="0"/>
                              <w:autoSpaceDN w:val="0"/>
                              <w:snapToGrid w:val="0"/>
                              <w:spacing w:after="0" w:line="240" w:lineRule="auto"/>
                              <w:ind w:left="1440"/>
                              <w:textAlignment w:val="baseline"/>
                              <w:rPr>
                                <w:rFonts w:ascii="Times New Roman" w:hAnsi="Times New Roman" w:cs="Times New Roman"/>
                                <w:szCs w:val="20"/>
                              </w:rPr>
                            </w:pPr>
                            <w:r w:rsidRPr="00415EA2">
                              <w:rPr>
                                <w:rFonts w:ascii="Times New Roman" w:hAnsi="Times New Roman" w:cs="Times New Roman"/>
                                <w:szCs w:val="20"/>
                              </w:rPr>
                              <w:t>The same beam measurement/reporting mechanism will be reused for inter-cell mTRP</w:t>
                            </w:r>
                          </w:p>
                          <w:p w14:paraId="63AE1D99" w14:textId="1A8575C7" w:rsidR="00E376B5" w:rsidRPr="00415EA2" w:rsidRDefault="00E376B5" w:rsidP="00C4412A">
                            <w:pPr>
                              <w:numPr>
                                <w:ilvl w:val="0"/>
                                <w:numId w:val="42"/>
                              </w:numPr>
                              <w:overflowPunct w:val="0"/>
                              <w:autoSpaceDE w:val="0"/>
                              <w:autoSpaceDN w:val="0"/>
                              <w:snapToGrid w:val="0"/>
                              <w:spacing w:after="0" w:line="240" w:lineRule="auto"/>
                              <w:ind w:left="1440"/>
                              <w:textAlignment w:val="baseline"/>
                              <w:rPr>
                                <w:rFonts w:ascii="Times New Roman" w:hAnsi="Times New Roman" w:cs="Times New Roman"/>
                                <w:szCs w:val="20"/>
                              </w:rPr>
                            </w:pPr>
                            <w:r w:rsidRPr="00415EA2">
                              <w:rPr>
                                <w:rFonts w:ascii="Times New Roman" w:hAnsi="Times New Roman" w:cs="Times New Roman"/>
                                <w:szCs w:val="20"/>
                              </w:rPr>
                              <w:t>This work shall only consider intra-DU and intra-frequency cases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D1B5821" id="Text Box 22" o:spid="_x0000_s1036" type="#_x0000_t202" style="width:481.9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" fillcolor="white [3201]" strokeweight=".5pt">
                <v:textbox style="mso-fit-shape-to-text:t">
                  <w:txbxContent>
                    <w:p w14:paraId="05ED0E1B" w14:textId="77777777" w:rsidR="00E376B5" w:rsidRPr="00415EA2" w:rsidRDefault="00E376B5" w:rsidP="00C4412A">
                      <w:pPr>
                        <w:pStyle w:val="ListParagraph"/>
                        <w:numPr>
                          <w:ilvl w:val="0"/>
                          <w:numId w:val="41"/>
                        </w:numPr>
                        <w:spacing w:line="240" w:lineRule="auto"/>
                        <w:ind w:left="360"/>
                        <w:jc w:val="both"/>
                        <w:rPr>
                          <w:rFonts w:ascii="Times New Roman" w:hAnsi="Times New Roman" w:cs="Times New Roman"/>
                          <w:sz w:val="20"/>
                          <w:szCs w:val="20"/>
                        </w:rPr>
                      </w:pPr>
                      <w:r w:rsidRPr="00415EA2">
                        <w:rPr>
                          <w:rFonts w:ascii="Times New Roman" w:hAnsi="Times New Roman" w:cs="Times New Roman"/>
                          <w:sz w:val="20"/>
                          <w:szCs w:val="20"/>
                        </w:rPr>
                        <w:t xml:space="preserve">Enhancement on multi-beam operation, mainly targeting FR2 while also applicable to FR1: </w:t>
                      </w:r>
                    </w:p>
                    <w:p w14:paraId="7242C8B2" w14:textId="72FC2770" w:rsidR="00E376B5" w:rsidRPr="00415EA2" w:rsidRDefault="00E376B5" w:rsidP="00C4412A">
                      <w:pPr>
                        <w:pStyle w:val="ListParagraph"/>
                        <w:numPr>
                          <w:ilvl w:val="1"/>
                          <w:numId w:val="41"/>
                        </w:numPr>
                        <w:spacing w:line="240" w:lineRule="auto"/>
                        <w:ind w:left="720"/>
                        <w:jc w:val="both"/>
                        <w:rPr>
                          <w:rFonts w:ascii="Times New Roman" w:hAnsi="Times New Roman" w:cs="Times New Roman"/>
                          <w:sz w:val="20"/>
                          <w:szCs w:val="20"/>
                        </w:rPr>
                      </w:pPr>
                      <w:r w:rsidRPr="00415EA2">
                        <w:rPr>
                          <w:rFonts w:ascii="Times New Roman" w:hAnsi="Times New Roman" w:cs="Times New Roman"/>
                          <w:sz w:val="20"/>
                          <w:szCs w:val="20"/>
                        </w:rPr>
                        <w:t xml:space="preserve">Identify and specify features to facilitate more efficient (lower latency and overhead) DL/UL beam management </w:t>
                      </w:r>
                      <w:r w:rsidRPr="00415EA2">
                        <w:rPr>
                          <w:rFonts w:ascii="Times New Roman" w:eastAsia="Times New Roman" w:hAnsi="Times New Roman" w:cs="Times New Roman"/>
                          <w:sz w:val="20"/>
                          <w:szCs w:val="20"/>
                        </w:rPr>
                        <w:t xml:space="preserve">for intra-cell and inter-cell scenarios </w:t>
                      </w:r>
                      <w:r w:rsidRPr="00415EA2">
                        <w:rPr>
                          <w:rFonts w:ascii="Times New Roman" w:hAnsi="Times New Roman" w:cs="Times New Roman"/>
                          <w:sz w:val="20"/>
                          <w:szCs w:val="20"/>
                        </w:rPr>
                        <w:t>to support higher UE speed and/or a larger number of configured TCI states:</w:t>
                      </w:r>
                    </w:p>
                    <w:p w14:paraId="071A38EC" w14:textId="77777777" w:rsidR="00E376B5" w:rsidRPr="00415EA2" w:rsidRDefault="00E376B5" w:rsidP="00C4412A">
                      <w:pPr>
                        <w:pStyle w:val="ListParagraph"/>
                        <w:numPr>
                          <w:ilvl w:val="2"/>
                          <w:numId w:val="41"/>
                        </w:numPr>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Common beam for data and control transmission/reception for DL and UL, especially for intra-band CA</w:t>
                      </w:r>
                    </w:p>
                    <w:p w14:paraId="14066AB6" w14:textId="77777777" w:rsidR="00E376B5" w:rsidRPr="00415EA2" w:rsidRDefault="00E376B5" w:rsidP="00C4412A">
                      <w:pPr>
                        <w:pStyle w:val="ListParagraph"/>
                        <w:numPr>
                          <w:ilvl w:val="2"/>
                          <w:numId w:val="41"/>
                        </w:numPr>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Unified TCI framework for DL and UL beam indication</w:t>
                      </w:r>
                    </w:p>
                    <w:p w14:paraId="55388BB4" w14:textId="77777777" w:rsidR="00E376B5" w:rsidRPr="00415EA2" w:rsidRDefault="00E376B5" w:rsidP="00C4412A">
                      <w:pPr>
                        <w:pStyle w:val="ListParagraph"/>
                        <w:numPr>
                          <w:ilvl w:val="2"/>
                          <w:numId w:val="41"/>
                        </w:numPr>
                        <w:snapToGrid w:val="0"/>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Enhancement on signaling mechanisms for the above features to improve latency and efficiency with more usage of dynamic control signaling (as opposed to RRC)</w:t>
                      </w:r>
                    </w:p>
                    <w:p w14:paraId="75544C15" w14:textId="77777777" w:rsidR="00E376B5" w:rsidRPr="00415EA2" w:rsidRDefault="00E376B5" w:rsidP="00C4412A">
                      <w:pPr>
                        <w:pStyle w:val="ListParagraph"/>
                        <w:numPr>
                          <w:ilvl w:val="2"/>
                          <w:numId w:val="41"/>
                        </w:numPr>
                        <w:snapToGrid w:val="0"/>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 xml:space="preserve">For inter-cell beam management, a UE can transmit to or receive from only a single cell (i.e. serving cell does not change when beam selection is done). This includes L1-only measurement/reporting (i.e. no L3 impact) and </w:t>
                      </w:r>
                      <w:bookmarkStart w:id="26" w:name="_Hlk78808929"/>
                      <w:r w:rsidRPr="00415EA2">
                        <w:rPr>
                          <w:rFonts w:ascii="Times New Roman" w:hAnsi="Times New Roman" w:cs="Times New Roman"/>
                          <w:sz w:val="20"/>
                          <w:szCs w:val="20"/>
                        </w:rPr>
                        <w:t>beam indication associated with cell(s) with any Physical Cell ID(s)</w:t>
                      </w:r>
                      <w:bookmarkEnd w:id="26"/>
                      <w:r w:rsidRPr="00415EA2">
                        <w:rPr>
                          <w:rFonts w:ascii="Times New Roman" w:hAnsi="Times New Roman" w:cs="Times New Roman"/>
                          <w:sz w:val="20"/>
                          <w:szCs w:val="20"/>
                        </w:rPr>
                        <w:t xml:space="preserve"> </w:t>
                      </w:r>
                    </w:p>
                    <w:p w14:paraId="3DF7BDB6" w14:textId="77777777" w:rsidR="00E376B5" w:rsidRPr="00415EA2" w:rsidRDefault="00E376B5" w:rsidP="00C4412A">
                      <w:pPr>
                        <w:numPr>
                          <w:ilvl w:val="0"/>
                          <w:numId w:val="42"/>
                        </w:numPr>
                        <w:overflowPunct w:val="0"/>
                        <w:autoSpaceDE w:val="0"/>
                        <w:autoSpaceDN w:val="0"/>
                        <w:snapToGrid w:val="0"/>
                        <w:spacing w:after="0" w:line="240" w:lineRule="auto"/>
                        <w:ind w:left="1440"/>
                        <w:textAlignment w:val="baseline"/>
                        <w:rPr>
                          <w:rFonts w:ascii="Times New Roman" w:hAnsi="Times New Roman" w:cs="Times New Roman"/>
                          <w:szCs w:val="20"/>
                        </w:rPr>
                      </w:pPr>
                      <w:r w:rsidRPr="00415EA2">
                        <w:rPr>
                          <w:rFonts w:ascii="Times New Roman" w:hAnsi="Times New Roman" w:cs="Times New Roman"/>
                          <w:szCs w:val="20"/>
                        </w:rPr>
                        <w:t>The beam indication is based on Rel-17 unified TCI framework</w:t>
                      </w:r>
                    </w:p>
                    <w:p w14:paraId="6435C129" w14:textId="77777777" w:rsidR="00E376B5" w:rsidRPr="00415EA2" w:rsidRDefault="00E376B5" w:rsidP="00C4412A">
                      <w:pPr>
                        <w:numPr>
                          <w:ilvl w:val="0"/>
                          <w:numId w:val="42"/>
                        </w:numPr>
                        <w:overflowPunct w:val="0"/>
                        <w:autoSpaceDE w:val="0"/>
                        <w:autoSpaceDN w:val="0"/>
                        <w:snapToGrid w:val="0"/>
                        <w:spacing w:after="0" w:line="240" w:lineRule="auto"/>
                        <w:ind w:left="1440"/>
                        <w:textAlignment w:val="baseline"/>
                        <w:rPr>
                          <w:rFonts w:ascii="Times New Roman" w:hAnsi="Times New Roman" w:cs="Times New Roman"/>
                          <w:szCs w:val="20"/>
                        </w:rPr>
                      </w:pPr>
                      <w:r w:rsidRPr="00415EA2">
                        <w:rPr>
                          <w:rFonts w:ascii="Times New Roman" w:hAnsi="Times New Roman" w:cs="Times New Roman"/>
                          <w:szCs w:val="20"/>
                        </w:rPr>
                        <w:t>The same beam measurement/reporting mechanism will be reused for inter-cell mTRP</w:t>
                      </w:r>
                    </w:p>
                    <w:p w14:paraId="63AE1D99" w14:textId="1A8575C7" w:rsidR="00E376B5" w:rsidRPr="00415EA2" w:rsidRDefault="00E376B5" w:rsidP="00C4412A">
                      <w:pPr>
                        <w:numPr>
                          <w:ilvl w:val="0"/>
                          <w:numId w:val="42"/>
                        </w:numPr>
                        <w:overflowPunct w:val="0"/>
                        <w:autoSpaceDE w:val="0"/>
                        <w:autoSpaceDN w:val="0"/>
                        <w:snapToGrid w:val="0"/>
                        <w:spacing w:after="0" w:line="240" w:lineRule="auto"/>
                        <w:ind w:left="1440"/>
                        <w:textAlignment w:val="baseline"/>
                        <w:rPr>
                          <w:rFonts w:ascii="Times New Roman" w:hAnsi="Times New Roman" w:cs="Times New Roman"/>
                          <w:szCs w:val="20"/>
                        </w:rPr>
                      </w:pPr>
                      <w:r w:rsidRPr="00415EA2">
                        <w:rPr>
                          <w:rFonts w:ascii="Times New Roman" w:hAnsi="Times New Roman" w:cs="Times New Roman"/>
                          <w:szCs w:val="20"/>
                        </w:rPr>
                        <w:t>This work shall only consider intra-DU and intra-frequency cases</w:t>
                      </w:r>
                    </w:p>
                  </w:txbxContent>
                </v:textbox>
                <w10:anchorlock/>
              </v:shape>
            </w:pict>
          </mc:Fallback>
        </mc:AlternateContent>
      </w:r>
    </w:p>
    <w:p w14:paraId="546F214C" w14:textId="4F6B3140" w:rsidR="00415EA2" w:rsidRDefault="00415EA2" w:rsidP="007819E3">
      <w:pPr>
        <w:rPr>
          <w:lang w:val="en-GB" w:eastAsia="ja-JP"/>
        </w:rPr>
      </w:pPr>
      <w:r>
        <w:rPr>
          <w:lang w:val="en-GB" w:eastAsia="ja-JP"/>
        </w:rPr>
        <w:t xml:space="preserve">Inter-cell beam management replaces the </w:t>
      </w:r>
      <w:r w:rsidR="009D79E4">
        <w:rPr>
          <w:lang w:val="en-GB" w:eastAsia="ja-JP"/>
        </w:rPr>
        <w:t xml:space="preserve">earlier </w:t>
      </w:r>
      <w:r>
        <w:rPr>
          <w:lang w:val="en-GB" w:eastAsia="ja-JP"/>
        </w:rPr>
        <w:t xml:space="preserve">term “L1/L2-centric mobility”. </w:t>
      </w:r>
    </w:p>
    <w:p w14:paraId="0BBDF6F6" w14:textId="6B8124D6" w:rsidR="007819E3" w:rsidRPr="007A4FC4" w:rsidRDefault="007819E3" w:rsidP="007819E3">
      <w:r w:rsidRPr="007A4FC4">
        <w:rPr>
          <w:lang w:val="en-GB" w:eastAsia="ja-JP"/>
        </w:rPr>
        <w:t xml:space="preserve">Although the Rel-15/16 beam management </w:t>
      </w:r>
      <w:r w:rsidRPr="007A4FC4">
        <w:t xml:space="preserve">procedures were defined for the case where one TRP transmits signals in beams, the procedures are equally applicable to the case where more than one TRP transmit the signals: measurements can be performed from reference signals from any TRP and a TCI state can contain </w:t>
      </w:r>
      <w:r w:rsidRPr="007A4FC4">
        <w:lastRenderedPageBreak/>
        <w:t xml:space="preserve">reference signals transmitted from any TRP. However, there is currently an important restriction: all the TRPs must broadcast the same physical cell identity (PCI) in </w:t>
      </w:r>
      <w:r w:rsidR="009854C3">
        <w:t>their</w:t>
      </w:r>
      <w:r w:rsidRPr="007A4FC4">
        <w:t xml:space="preserve"> SSBs. Due to this restriction, beam management is sometimes called “intra-cell mobility”.</w:t>
      </w:r>
    </w:p>
    <w:p w14:paraId="11B7E195" w14:textId="52374A04" w:rsidR="007819E3" w:rsidRPr="007A4FC4" w:rsidRDefault="007819E3" w:rsidP="007819E3">
      <w:pPr>
        <w:rPr>
          <w:lang w:val="en-GB" w:eastAsia="ja-JP"/>
        </w:rPr>
      </w:pPr>
      <w:r w:rsidRPr="007A4FC4">
        <w:rPr>
          <w:lang w:val="en-GB" w:eastAsia="ja-JP"/>
        </w:rPr>
        <w:t xml:space="preserve">The statement in the WID on </w:t>
      </w:r>
      <w:r w:rsidR="00415EA2">
        <w:rPr>
          <w:lang w:val="en-GB" w:eastAsia="ja-JP"/>
        </w:rPr>
        <w:t xml:space="preserve">inter-cell beam management </w:t>
      </w:r>
      <w:r w:rsidRPr="007A4FC4">
        <w:rPr>
          <w:lang w:val="en-GB" w:eastAsia="ja-JP"/>
        </w:rPr>
        <w:t>aims at removing the somewhat artificial restriction that all TRPs must broadcast the same PCI.</w:t>
      </w:r>
    </w:p>
    <w:p w14:paraId="5655DD08" w14:textId="7BB9C3CB" w:rsidR="007819E3" w:rsidRPr="007A4FC4" w:rsidRDefault="007819E3" w:rsidP="007819E3">
      <w:pPr>
        <w:pStyle w:val="Heading3"/>
      </w:pPr>
      <w:r w:rsidRPr="007A4FC4">
        <w:t>2.2.1</w:t>
      </w:r>
      <w:r w:rsidRPr="007A4FC4">
        <w:tab/>
        <w:t xml:space="preserve">Performance of </w:t>
      </w:r>
      <w:r w:rsidR="00415EA2">
        <w:t>inter-cell beam management</w:t>
      </w:r>
    </w:p>
    <w:p w14:paraId="370D55D2" w14:textId="6B2628B6" w:rsidR="007819E3" w:rsidRPr="007A4FC4" w:rsidRDefault="00415EA2" w:rsidP="000E0F2D">
      <w:pPr>
        <w:pStyle w:val="BodyText"/>
        <w:rPr>
          <w:lang w:val="en-GB"/>
        </w:rPr>
      </w:pPr>
      <w:r>
        <w:rPr>
          <w:lang w:val="en-GB"/>
        </w:rPr>
        <w:t xml:space="preserve">In Rel-15/16, a UE that travels across an area covered by TRPs broadcasting different PCIs will require </w:t>
      </w:r>
      <w:r w:rsidR="006D0663">
        <w:rPr>
          <w:lang w:val="en-GB"/>
        </w:rPr>
        <w:t xml:space="preserve">L3 handovers. </w:t>
      </w:r>
      <w:r w:rsidR="007819E3" w:rsidRPr="007A4FC4">
        <w:rPr>
          <w:lang w:val="en-GB"/>
        </w:rPr>
        <w:t xml:space="preserve">To </w:t>
      </w:r>
      <w:r w:rsidR="006D0663">
        <w:rPr>
          <w:lang w:val="en-GB"/>
        </w:rPr>
        <w:t>compare the performance of inter-cell beam management and L3 handovers</w:t>
      </w:r>
      <w:r w:rsidR="007819E3" w:rsidRPr="007A4FC4">
        <w:rPr>
          <w:lang w:val="en-GB"/>
        </w:rPr>
        <w:t xml:space="preserve">, we have performed simulations for the Dense Urban scenario described in the EVM </w:t>
      </w:r>
      <w:r w:rsidR="007819E3" w:rsidRPr="007A4FC4">
        <w:rPr>
          <w:lang w:val="en-GB"/>
        </w:rPr>
        <w:fldChar w:fldCharType="begin"/>
      </w:r>
      <w:r w:rsidR="007819E3" w:rsidRPr="007A4FC4">
        <w:rPr>
          <w:lang w:val="en-GB"/>
        </w:rPr>
        <w:instrText xml:space="preserve"> REF _Ref54161672 \r \h  \* MERGEFORMAT </w:instrText>
      </w:r>
      <w:r w:rsidR="007819E3" w:rsidRPr="007A4FC4">
        <w:rPr>
          <w:lang w:val="en-GB"/>
        </w:rPr>
      </w:r>
      <w:r w:rsidR="007819E3" w:rsidRPr="007A4FC4">
        <w:rPr>
          <w:lang w:val="en-GB"/>
        </w:rPr>
        <w:fldChar w:fldCharType="separate"/>
      </w:r>
      <w:r w:rsidR="004F6468">
        <w:rPr>
          <w:lang w:val="en-GB"/>
        </w:rPr>
        <w:t>[6]</w:t>
      </w:r>
      <w:r w:rsidR="007819E3" w:rsidRPr="007A4FC4">
        <w:rPr>
          <w:lang w:val="en-GB"/>
        </w:rPr>
        <w:fldChar w:fldCharType="end"/>
      </w:r>
      <w:r w:rsidR="007819E3" w:rsidRPr="007A4FC4">
        <w:rPr>
          <w:lang w:val="en-GB"/>
        </w:rPr>
        <w:t xml:space="preserve"> with 120km/h UE speed and 10 UEs at random positions along the trajectory for each drop. Half of the trajectory (72000 slots) was simulated in each drop, and a total of 100 drops was performed. The UE channel mobility was updated every 10 ms, and inter-cell handover search was performed every 100 ms, with a handover margin of 3 dB. Further details about the simulation parameters can be found in </w:t>
      </w:r>
      <w:r w:rsidR="007819E3" w:rsidRPr="007A4FC4">
        <w:rPr>
          <w:lang w:val="en-GB"/>
        </w:rPr>
        <w:fldChar w:fldCharType="begin"/>
      </w:r>
      <w:r w:rsidR="007819E3" w:rsidRPr="007A4FC4">
        <w:rPr>
          <w:lang w:val="en-GB"/>
        </w:rPr>
        <w:instrText xml:space="preserve"> REF _Ref61433876 \r \h  \* MERGEFORMAT </w:instrText>
      </w:r>
      <w:r w:rsidR="007819E3" w:rsidRPr="007A4FC4">
        <w:rPr>
          <w:lang w:val="en-GB"/>
        </w:rPr>
      </w:r>
      <w:r w:rsidR="007819E3" w:rsidRPr="007A4FC4">
        <w:rPr>
          <w:lang w:val="en-GB"/>
        </w:rPr>
        <w:fldChar w:fldCharType="separate"/>
      </w:r>
      <w:r w:rsidR="004F6468">
        <w:rPr>
          <w:lang w:val="en-GB"/>
        </w:rPr>
        <w:t>[5]</w:t>
      </w:r>
      <w:r w:rsidR="007819E3" w:rsidRPr="007A4FC4">
        <w:rPr>
          <w:lang w:val="en-GB"/>
        </w:rPr>
        <w:fldChar w:fldCharType="end"/>
      </w:r>
      <w:r w:rsidR="007819E3" w:rsidRPr="007A4FC4">
        <w:rPr>
          <w:lang w:val="en-GB"/>
        </w:rPr>
        <w:t>. The handover procedure has been evaluated with respect to two different handover models: L1/L2 and L3, where we have set the handover model parameters as:</w:t>
      </w:r>
    </w:p>
    <w:p w14:paraId="15A231EF" w14:textId="6B797668" w:rsidR="007819E3" w:rsidRPr="007A4FC4" w:rsidRDefault="007819E3" w:rsidP="00C4412A">
      <w:pPr>
        <w:pStyle w:val="ListParagraph"/>
        <w:numPr>
          <w:ilvl w:val="0"/>
          <w:numId w:val="17"/>
        </w:numPr>
        <w:spacing w:line="240" w:lineRule="auto"/>
        <w:rPr>
          <w:rFonts w:ascii="Arial" w:hAnsi="Arial" w:cs="Arial"/>
          <w:sz w:val="20"/>
          <w:szCs w:val="20"/>
          <w:lang w:val="en-GB" w:eastAsia="ja-JP"/>
        </w:rPr>
      </w:pPr>
      <w:r w:rsidRPr="007A4FC4">
        <w:rPr>
          <w:rFonts w:ascii="Arial" w:hAnsi="Arial" w:cs="Arial"/>
          <w:sz w:val="20"/>
          <w:szCs w:val="20"/>
          <w:lang w:val="en-GB" w:eastAsia="ja-JP"/>
        </w:rPr>
        <w:t xml:space="preserve">Handover deactivation delay: </w:t>
      </w:r>
      <w:r w:rsidR="006D0663">
        <w:rPr>
          <w:rFonts w:ascii="Arial" w:hAnsi="Arial" w:cs="Arial"/>
          <w:sz w:val="20"/>
          <w:szCs w:val="20"/>
          <w:lang w:val="en-GB" w:eastAsia="ja-JP"/>
        </w:rPr>
        <w:t>beam management</w:t>
      </w:r>
      <w:r w:rsidRPr="007A4FC4">
        <w:rPr>
          <w:rFonts w:ascii="Arial" w:hAnsi="Arial" w:cs="Arial"/>
          <w:sz w:val="20"/>
          <w:szCs w:val="20"/>
          <w:lang w:val="en-GB" w:eastAsia="ja-JP"/>
        </w:rPr>
        <w:t xml:space="preserve">: 10 ms, L3: 1000 ms </w:t>
      </w:r>
    </w:p>
    <w:p w14:paraId="0A624CBC" w14:textId="4C6F02D5" w:rsidR="007819E3" w:rsidRPr="007A4FC4" w:rsidRDefault="007819E3" w:rsidP="00C4412A">
      <w:pPr>
        <w:pStyle w:val="ListParagraph"/>
        <w:numPr>
          <w:ilvl w:val="0"/>
          <w:numId w:val="17"/>
        </w:numPr>
        <w:spacing w:after="240" w:line="240" w:lineRule="auto"/>
        <w:rPr>
          <w:rFonts w:ascii="Arial" w:hAnsi="Arial" w:cs="Arial"/>
          <w:sz w:val="20"/>
          <w:szCs w:val="20"/>
          <w:lang w:val="en-GB" w:eastAsia="ja-JP"/>
        </w:rPr>
      </w:pPr>
      <w:r w:rsidRPr="007A4FC4">
        <w:rPr>
          <w:rFonts w:ascii="Arial" w:hAnsi="Arial" w:cs="Arial"/>
          <w:sz w:val="20"/>
          <w:szCs w:val="20"/>
          <w:lang w:val="en-GB" w:eastAsia="ja-JP"/>
        </w:rPr>
        <w:t xml:space="preserve">Handover interruption time with no data transfer: </w:t>
      </w:r>
      <w:r w:rsidR="006D0663">
        <w:rPr>
          <w:rFonts w:ascii="Arial" w:hAnsi="Arial" w:cs="Arial"/>
          <w:sz w:val="20"/>
          <w:szCs w:val="20"/>
          <w:lang w:val="en-GB" w:eastAsia="ja-JP"/>
        </w:rPr>
        <w:t xml:space="preserve">beam </w:t>
      </w:r>
      <w:r w:rsidR="0043651E">
        <w:rPr>
          <w:rFonts w:ascii="Arial" w:hAnsi="Arial" w:cs="Arial"/>
          <w:sz w:val="20"/>
          <w:szCs w:val="20"/>
          <w:lang w:val="en-GB" w:eastAsia="ja-JP"/>
        </w:rPr>
        <w:t>management</w:t>
      </w:r>
      <w:r w:rsidRPr="007A4FC4">
        <w:rPr>
          <w:rFonts w:ascii="Arial" w:hAnsi="Arial" w:cs="Arial"/>
          <w:sz w:val="20"/>
          <w:szCs w:val="20"/>
          <w:lang w:val="en-GB" w:eastAsia="ja-JP"/>
        </w:rPr>
        <w:t>: 5 slots, L3: 80 ms</w:t>
      </w:r>
    </w:p>
    <w:p w14:paraId="78267088" w14:textId="2F3DAED6" w:rsidR="007819E3" w:rsidRPr="007A4FC4" w:rsidRDefault="007819E3" w:rsidP="007819E3">
      <w:pPr>
        <w:spacing w:line="240" w:lineRule="auto"/>
        <w:rPr>
          <w:lang w:val="en-GB" w:eastAsia="ja-JP"/>
        </w:rPr>
      </w:pPr>
      <w:r w:rsidRPr="007A4FC4">
        <w:rPr>
          <w:lang w:val="en-GB" w:eastAsia="ja-JP"/>
        </w:rPr>
        <w:t xml:space="preserve">The resulting C.D.F. of </w:t>
      </w:r>
      <w:r w:rsidR="00F21A47">
        <w:rPr>
          <w:lang w:val="en-GB" w:eastAsia="ja-JP"/>
        </w:rPr>
        <w:t>u</w:t>
      </w:r>
      <w:r w:rsidRPr="007A4FC4">
        <w:rPr>
          <w:lang w:val="en-GB" w:eastAsia="ja-JP"/>
        </w:rPr>
        <w:t xml:space="preserve">ser </w:t>
      </w:r>
      <w:r w:rsidR="00F21A47">
        <w:rPr>
          <w:lang w:val="en-GB" w:eastAsia="ja-JP"/>
        </w:rPr>
        <w:t>t</w:t>
      </w:r>
      <w:r w:rsidRPr="007A4FC4">
        <w:rPr>
          <w:lang w:val="en-GB" w:eastAsia="ja-JP"/>
        </w:rPr>
        <w:t xml:space="preserve">hroughput is shown in </w:t>
      </w:r>
      <w:r w:rsidR="00AF5742">
        <w:rPr>
          <w:lang w:val="en-GB" w:eastAsia="ja-JP"/>
        </w:rPr>
        <w:fldChar w:fldCharType="begin"/>
      </w:r>
      <w:r w:rsidR="00AF5742">
        <w:rPr>
          <w:lang w:val="en-GB" w:eastAsia="ja-JP"/>
        </w:rPr>
        <w:instrText xml:space="preserve"> REF _Ref68606991 \h </w:instrText>
      </w:r>
      <w:r w:rsidR="00AF5742">
        <w:rPr>
          <w:lang w:val="en-GB" w:eastAsia="ja-JP"/>
        </w:rPr>
      </w:r>
      <w:r w:rsidR="00AF5742">
        <w:rPr>
          <w:lang w:val="en-GB" w:eastAsia="ja-JP"/>
        </w:rPr>
        <w:fldChar w:fldCharType="separate"/>
      </w:r>
      <w:r w:rsidR="004F6468" w:rsidRPr="007A4FC4">
        <w:t xml:space="preserve">Figure </w:t>
      </w:r>
      <w:r w:rsidR="004F6468">
        <w:rPr>
          <w:noProof/>
        </w:rPr>
        <w:t>1</w:t>
      </w:r>
      <w:r w:rsidR="00AF5742">
        <w:rPr>
          <w:lang w:val="en-GB" w:eastAsia="ja-JP"/>
        </w:rPr>
        <w:fldChar w:fldCharType="end"/>
      </w:r>
      <w:r w:rsidR="003770AD">
        <w:rPr>
          <w:lang w:val="en-GB" w:eastAsia="ja-JP"/>
        </w:rPr>
        <w:t>;</w:t>
      </w:r>
      <w:r w:rsidRPr="007A4FC4">
        <w:rPr>
          <w:lang w:val="en-GB" w:eastAsia="ja-JP"/>
        </w:rPr>
        <w:t xml:space="preserve"> the mean and cell-edge user throughput is reduced by 1</w:t>
      </w:r>
      <w:r w:rsidR="007A4FC4">
        <w:rPr>
          <w:lang w:val="en-GB" w:eastAsia="ja-JP"/>
        </w:rPr>
        <w:t>6</w:t>
      </w:r>
      <w:r w:rsidRPr="007A4FC4">
        <w:rPr>
          <w:lang w:val="en-GB" w:eastAsia="ja-JP"/>
        </w:rPr>
        <w:t>% and 2</w:t>
      </w:r>
      <w:r w:rsidR="007A4FC4">
        <w:rPr>
          <w:lang w:val="en-GB" w:eastAsia="ja-JP"/>
        </w:rPr>
        <w:t>3</w:t>
      </w:r>
      <w:r w:rsidRPr="007A4FC4">
        <w:rPr>
          <w:lang w:val="en-GB" w:eastAsia="ja-JP"/>
        </w:rPr>
        <w:t xml:space="preserve">% respectively using the L3 model compared to the L1/L2 model. </w:t>
      </w:r>
    </w:p>
    <w:p w14:paraId="75B7FFFF" w14:textId="77777777" w:rsidR="007819E3" w:rsidRPr="007A4FC4" w:rsidRDefault="007819E3" w:rsidP="007819E3">
      <w:pPr>
        <w:keepNext/>
      </w:pPr>
      <w:r w:rsidRPr="007A4FC4">
        <w:rPr>
          <w:noProof/>
          <w:lang w:val="en-GB" w:eastAsia="ja-JP"/>
        </w:rPr>
        <w:drawing>
          <wp:inline distT="0" distB="0" distL="0" distR="0" wp14:anchorId="44D1293C" wp14:editId="2727B79E">
            <wp:extent cx="6120765" cy="2518410"/>
            <wp:effectExtent l="0" t="0" r="0" b="0"/>
            <wp:docPr id="24" name="Picture 2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_LI_UT_cdf.png"/>
                    <pic:cNvPicPr/>
                  </pic:nvPicPr>
                  <pic:blipFill rotWithShape="1">
                    <a:blip r:embed="rId11" cstate="print">
                      <a:extLst>
                        <a:ext uri="{28A0092B-C50C-407E-A947-70E740481C1C}">
                          <a14:useLocalDpi xmlns:a14="http://schemas.microsoft.com/office/drawing/2010/main" val="0"/>
                        </a:ext>
                      </a:extLst>
                    </a:blip>
                    <a:srcRect t="3994"/>
                    <a:stretch/>
                  </pic:blipFill>
                  <pic:spPr bwMode="auto">
                    <a:xfrm>
                      <a:off x="0" y="0"/>
                      <a:ext cx="6120765" cy="2518410"/>
                    </a:xfrm>
                    <a:prstGeom prst="rect">
                      <a:avLst/>
                    </a:prstGeom>
                    <a:ln>
                      <a:noFill/>
                    </a:ln>
                    <a:extLst>
                      <a:ext uri="{53640926-AAD7-44D8-BBD7-CCE9431645EC}">
                        <a14:shadowObscured xmlns:a14="http://schemas.microsoft.com/office/drawing/2010/main"/>
                      </a:ext>
                    </a:extLst>
                  </pic:spPr>
                </pic:pic>
              </a:graphicData>
            </a:graphic>
          </wp:inline>
        </w:drawing>
      </w:r>
    </w:p>
    <w:p w14:paraId="2EE4DDBD" w14:textId="14C50114" w:rsidR="007819E3" w:rsidRPr="00F654EF" w:rsidRDefault="007819E3" w:rsidP="007819E3">
      <w:pPr>
        <w:pStyle w:val="Caption"/>
        <w:jc w:val="center"/>
      </w:pPr>
      <w:bookmarkStart w:id="26" w:name="_Ref68606991"/>
      <w:r w:rsidRPr="007A4FC4">
        <w:t xml:space="preserve">Figure </w:t>
      </w:r>
      <w:r w:rsidRPr="007A4FC4">
        <w:fldChar w:fldCharType="begin"/>
      </w:r>
      <w:r w:rsidRPr="007A4FC4">
        <w:instrText xml:space="preserve"> SEQ Figure \* ARABIC </w:instrText>
      </w:r>
      <w:r w:rsidRPr="007A4FC4">
        <w:fldChar w:fldCharType="separate"/>
      </w:r>
      <w:r w:rsidR="004F6468">
        <w:rPr>
          <w:noProof/>
        </w:rPr>
        <w:t>1</w:t>
      </w:r>
      <w:r w:rsidRPr="007A4FC4">
        <w:fldChar w:fldCharType="end"/>
      </w:r>
      <w:bookmarkEnd w:id="26"/>
      <w:r w:rsidRPr="007A4FC4">
        <w:t xml:space="preserve"> C.D.F of User Throughput comparison between the L1/L2 and L3 handover procedure model</w:t>
      </w:r>
    </w:p>
    <w:p w14:paraId="344DB0AA" w14:textId="74F9B05E" w:rsidR="007819E3" w:rsidRDefault="007A4FC4" w:rsidP="007819E3">
      <w:pPr>
        <w:rPr>
          <w:lang w:eastAsia="ja-JP"/>
        </w:rPr>
      </w:pPr>
      <w:r>
        <w:rPr>
          <w:lang w:eastAsia="ja-JP"/>
        </w:rPr>
        <w:t>Note that the above performance improvement over L3 mobility requires two things:</w:t>
      </w:r>
    </w:p>
    <w:p w14:paraId="769FC128" w14:textId="612CCE78" w:rsidR="007A4FC4" w:rsidRPr="007A4FC4" w:rsidRDefault="007A4FC4" w:rsidP="00C4412A">
      <w:pPr>
        <w:pStyle w:val="ListParagraph"/>
        <w:numPr>
          <w:ilvl w:val="0"/>
          <w:numId w:val="27"/>
        </w:numPr>
        <w:rPr>
          <w:rFonts w:ascii="Arial" w:hAnsi="Arial" w:cs="Arial"/>
          <w:sz w:val="20"/>
          <w:szCs w:val="20"/>
          <w:lang w:eastAsia="ja-JP"/>
        </w:rPr>
      </w:pPr>
      <w:r w:rsidRPr="007A4FC4">
        <w:rPr>
          <w:rFonts w:ascii="Arial" w:hAnsi="Arial" w:cs="Arial"/>
          <w:sz w:val="20"/>
          <w:szCs w:val="20"/>
          <w:lang w:val="en-US" w:eastAsia="ja-JP"/>
        </w:rPr>
        <w:t>Measurements are performed on L1 and reported over UCI. This will reduce the time it takes for the measurements to reach the gNB, and will make it possible for the gNB to make better choices on when to change TRP.</w:t>
      </w:r>
    </w:p>
    <w:p w14:paraId="0EF9AE95" w14:textId="7A90DFE5" w:rsidR="007A4FC4" w:rsidRPr="007A4FC4" w:rsidRDefault="007A4FC4" w:rsidP="00C4412A">
      <w:pPr>
        <w:pStyle w:val="ListParagraph"/>
        <w:numPr>
          <w:ilvl w:val="0"/>
          <w:numId w:val="27"/>
        </w:numPr>
        <w:rPr>
          <w:rFonts w:ascii="Arial" w:hAnsi="Arial" w:cs="Arial"/>
          <w:sz w:val="20"/>
          <w:szCs w:val="20"/>
          <w:lang w:eastAsia="ja-JP"/>
        </w:rPr>
      </w:pPr>
      <w:r w:rsidRPr="007A4FC4">
        <w:rPr>
          <w:rFonts w:ascii="Arial" w:hAnsi="Arial" w:cs="Arial"/>
          <w:sz w:val="20"/>
          <w:szCs w:val="20"/>
          <w:lang w:val="en-US" w:eastAsia="ja-JP"/>
        </w:rPr>
        <w:t>The change of TRP is signaled over L1/L2. This will lead to a faster switch, and a significant reduction in the interrupt.</w:t>
      </w:r>
    </w:p>
    <w:p w14:paraId="15E71944" w14:textId="5A6A20CC" w:rsidR="007A4FC4" w:rsidRDefault="007A4FC4" w:rsidP="007A4FC4">
      <w:pPr>
        <w:rPr>
          <w:lang w:eastAsia="ja-JP"/>
        </w:rPr>
      </w:pPr>
      <w:r>
        <w:rPr>
          <w:lang w:eastAsia="ja-JP"/>
        </w:rPr>
        <w:t xml:space="preserve">Again: note that both components are needed: </w:t>
      </w:r>
    </w:p>
    <w:p w14:paraId="347913BE" w14:textId="2A00B39D" w:rsidR="007A4FC4" w:rsidRDefault="007A4FC4" w:rsidP="000E0F2D">
      <w:pPr>
        <w:pStyle w:val="Observation"/>
      </w:pPr>
      <w:bookmarkStart w:id="27" w:name="_Toc79658915"/>
      <w:r>
        <w:t xml:space="preserve">To reap the benefits of inter-cell </w:t>
      </w:r>
      <w:r w:rsidR="00415EA2">
        <w:t>beam management</w:t>
      </w:r>
      <w:r>
        <w:t xml:space="preserve">, both measurements and beam indication for non-serving cells </w:t>
      </w:r>
      <w:r w:rsidR="006108A5">
        <w:t>must</w:t>
      </w:r>
      <w:r>
        <w:t xml:space="preserve"> be specified.</w:t>
      </w:r>
      <w:bookmarkEnd w:id="27"/>
    </w:p>
    <w:p w14:paraId="174CB027" w14:textId="2759CA47" w:rsidR="006108A5" w:rsidRPr="007819E3" w:rsidRDefault="006108A5" w:rsidP="000E0F2D">
      <w:pPr>
        <w:pStyle w:val="BodyText"/>
      </w:pPr>
      <w:r>
        <w:t>Note that it is not easy to perform RRC reconfigurations based on L1 reports: since L1 is terminated in the DU, L1 reports do not reach the CU, where RRC is implemented.</w:t>
      </w:r>
    </w:p>
    <w:p w14:paraId="70A80084" w14:textId="56C450B7" w:rsidR="007A4FC4" w:rsidRPr="00E467B8" w:rsidRDefault="007A4FC4" w:rsidP="007A4FC4">
      <w:pPr>
        <w:pStyle w:val="Heading3"/>
      </w:pPr>
      <w:r>
        <w:lastRenderedPageBreak/>
        <w:t>2.2.2</w:t>
      </w:r>
      <w:r>
        <w:tab/>
      </w:r>
      <w:r w:rsidR="009D79E4">
        <w:t>Beam indication for non-serving cell</w:t>
      </w:r>
    </w:p>
    <w:p w14:paraId="3E4F98B0" w14:textId="153A8621" w:rsidR="00D5149A" w:rsidRPr="00D5149A" w:rsidRDefault="00D5149A" w:rsidP="00D5149A">
      <w:pPr>
        <w:pStyle w:val="BodyText"/>
      </w:pPr>
      <w:r w:rsidRPr="00D5149A">
        <w:t>In RAN1#10</w:t>
      </w:r>
      <w:r w:rsidR="006D0663">
        <w:t>5</w:t>
      </w:r>
      <w:r w:rsidRPr="00D5149A">
        <w:t xml:space="preserve">-e, the following </w:t>
      </w:r>
      <w:r w:rsidR="006D0663">
        <w:t xml:space="preserve">working assumption </w:t>
      </w:r>
      <w:r w:rsidRPr="00D5149A">
        <w:t xml:space="preserve">was </w:t>
      </w:r>
      <w:r w:rsidR="006D0663">
        <w:t>made</w:t>
      </w:r>
      <w:r w:rsidRPr="00D5149A">
        <w:t>:</w:t>
      </w:r>
    </w:p>
    <w:p w14:paraId="0EA15C17" w14:textId="77777777" w:rsidR="00D5149A" w:rsidRPr="00D5149A" w:rsidRDefault="00D5149A" w:rsidP="00D5149A">
      <w:pPr>
        <w:pStyle w:val="BodyText"/>
      </w:pPr>
      <w:r w:rsidRPr="00D5149A">
        <w:rPr>
          <w:noProof/>
        </w:rPr>
        <mc:AlternateContent>
          <mc:Choice Requires="wps">
            <w:drawing>
              <wp:inline distT="0" distB="0" distL="0" distR="0" wp14:anchorId="05CC5010" wp14:editId="0A2819EE">
                <wp:extent cx="6146359" cy="771276"/>
                <wp:effectExtent l="0" t="0" r="26035" b="24765"/>
                <wp:docPr id="44" name="Text Box 44"/>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3B6CD3E2" w14:textId="77777777" w:rsidR="00E376B5" w:rsidRPr="007A4B66" w:rsidRDefault="00E376B5" w:rsidP="006D0663">
                            <w:pPr>
                              <w:snapToGrid w:val="0"/>
                              <w:jc w:val="both"/>
                              <w:rPr>
                                <w:rFonts w:ascii="Times New Roman" w:eastAsia="Malgun Gothic" w:hAnsi="Times New Roman" w:cs="Times New Roman"/>
                                <w:b/>
                                <w:bCs/>
                                <w:szCs w:val="20"/>
                                <w:highlight w:val="darkYellow"/>
                              </w:rPr>
                            </w:pPr>
                            <w:r w:rsidRPr="007A4B66">
                              <w:rPr>
                                <w:rFonts w:ascii="Times New Roman" w:eastAsia="SimSun" w:hAnsi="Times New Roman" w:cs="Times New Roman"/>
                                <w:b/>
                                <w:bCs/>
                                <w:szCs w:val="20"/>
                                <w:highlight w:val="darkYellow"/>
                              </w:rPr>
                              <w:t>Working Assumption</w:t>
                            </w:r>
                          </w:p>
                          <w:p w14:paraId="59094FBB" w14:textId="77777777" w:rsidR="00E376B5" w:rsidRPr="007A4B66" w:rsidRDefault="00E376B5" w:rsidP="006D0663">
                            <w:pPr>
                              <w:snapToGrid w:val="0"/>
                              <w:jc w:val="both"/>
                              <w:rPr>
                                <w:rFonts w:ascii="Times New Roman" w:eastAsia="Malgun Gothic" w:hAnsi="Times New Roman" w:cs="Times New Roman"/>
                                <w:szCs w:val="20"/>
                              </w:rPr>
                            </w:pPr>
                            <w:r w:rsidRPr="007A4B66">
                              <w:rPr>
                                <w:rFonts w:ascii="Times New Roman" w:eastAsia="Malgun Gothic" w:hAnsi="Times New Roman" w:cs="Times New Roman"/>
                                <w:szCs w:val="20"/>
                              </w:rPr>
                              <w:t xml:space="preserve">On Rel.17 beam indication enhancements </w:t>
                            </w:r>
                            <w:r w:rsidRPr="007A4B66">
                              <w:rPr>
                                <w:rFonts w:ascii="Times New Roman" w:eastAsia="Malgun Gothic" w:hAnsi="Times New Roman" w:cs="Times New Roman"/>
                                <w:color w:val="000000"/>
                                <w:szCs w:val="20"/>
                              </w:rPr>
                              <w:t>for L1/L2-centric inter-cell mobility</w:t>
                            </w:r>
                            <w:r w:rsidRPr="007A4B66">
                              <w:rPr>
                                <w:rFonts w:ascii="Times New Roman" w:eastAsia="Malgun Gothic" w:hAnsi="Times New Roman" w:cs="Times New Roman"/>
                                <w:szCs w:val="20"/>
                              </w:rPr>
                              <w:t>, support the following:</w:t>
                            </w:r>
                          </w:p>
                          <w:p w14:paraId="55448F7A" w14:textId="77777777" w:rsidR="00E376B5" w:rsidRPr="007A4B66" w:rsidRDefault="00E376B5" w:rsidP="00C4412A">
                            <w:pPr>
                              <w:numPr>
                                <w:ilvl w:val="0"/>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Rel-17 MAC-CE-based and/or DCI-based beam indication (at least using DCI formats 1_1/1_2 with and without DL assignment including the associated MAC-CE-based TCI state activation) </w:t>
                            </w:r>
                          </w:p>
                          <w:p w14:paraId="42410D4B" w14:textId="77777777" w:rsidR="00E376B5" w:rsidRPr="007A4B66" w:rsidRDefault="00E376B5"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FFS (to be decided in RAN1#106-e): Whether this also applies to </w:t>
                            </w:r>
                            <w:r w:rsidRPr="007A4B66">
                              <w:rPr>
                                <w:rFonts w:ascii="Times New Roman" w:eastAsia="Times New Roman" w:hAnsi="Times New Roman" w:cs="Times New Roman"/>
                                <w:szCs w:val="20"/>
                              </w:rPr>
                              <w:t xml:space="preserve">PDSCH/PUSCH associated with UE-dedicated CORESETs only or additional target channels (e.g. UE-dedicated PDCCH/PUCCH) </w:t>
                            </w:r>
                          </w:p>
                          <w:p w14:paraId="54A7C525" w14:textId="77777777" w:rsidR="00E376B5" w:rsidRPr="007A4B66" w:rsidRDefault="00E376B5"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FFS: Whether the above is supported only for joint TCI, or both joint TCI and separate DL/UL TCI (including that, if separate DL/UL TCI is supported, the DL TCI and UL TCI associated with a same cell) </w:t>
                            </w:r>
                          </w:p>
                          <w:p w14:paraId="4343008C" w14:textId="77777777" w:rsidR="00E376B5" w:rsidRPr="007A4B66" w:rsidRDefault="00E376B5"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FFS: Whether to support activation of TCI states for more than one cells simultaneously</w:t>
                            </w:r>
                          </w:p>
                          <w:p w14:paraId="7C78C81B" w14:textId="77777777" w:rsidR="00E376B5" w:rsidRPr="007A4B66" w:rsidRDefault="00E376B5"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FFS: Whether down-selection between MAC-CE only based and MAC-CE+DCI-based beam indication scheme is necessary</w:t>
                            </w:r>
                          </w:p>
                          <w:p w14:paraId="40A1BE6D" w14:textId="77777777" w:rsidR="00E376B5" w:rsidRPr="007A4B66" w:rsidRDefault="00E376B5" w:rsidP="00C4412A">
                            <w:pPr>
                              <w:numPr>
                                <w:ilvl w:val="0"/>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The DL QCL and UL spatial relation rules already agreed for intra-cell scenario </w:t>
                            </w:r>
                          </w:p>
                          <w:p w14:paraId="181336F0" w14:textId="77777777" w:rsidR="00E376B5" w:rsidRPr="007A4B66" w:rsidRDefault="00E376B5" w:rsidP="00C4412A">
                            <w:pPr>
                              <w:numPr>
                                <w:ilvl w:val="0"/>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FFS: The use of SSB associated with a physical cell ID different from that of the serving cell as an indirect QCL reference for UE-dedicated PDSCH </w:t>
                            </w:r>
                          </w:p>
                          <w:p w14:paraId="342F58C6" w14:textId="77777777" w:rsidR="00E376B5" w:rsidRPr="007A4B66" w:rsidRDefault="00E376B5"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FFS (to be decided in RAN1#106-e): Whether this also applies to UE-dedicated PDCCH </w:t>
                            </w:r>
                          </w:p>
                          <w:p w14:paraId="176D77A1" w14:textId="77777777" w:rsidR="00E376B5" w:rsidRPr="007A4B66" w:rsidRDefault="00E376B5"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Note: When RS X is an indirect QCL reference of a target channel, there exists at least one other source signal on the QCL chain between RS X and the target channel</w:t>
                            </w:r>
                          </w:p>
                          <w:p w14:paraId="53839A7F" w14:textId="340E39C5" w:rsidR="00E376B5" w:rsidRPr="006D0663" w:rsidRDefault="00E376B5"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FFS (to be decided in RAN1#106-e): Whether SSB associated with a physical cell ID different from that of the serving cell can also be used as a direct QCL reference (source RS) for UE-dedicated PDCCH/PDSCH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5CC5010" id="Text Box 44" o:spid="_x0000_s1037"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CbB1/SUQIAAKsEAAAOAAAAAAAAAAAAAAAAAC4CAABkcnMvZTJvRG9jLnhtbFBLAQItABQABgAI&#10;AAAAIQAiBMLm3AAAAAUBAAAPAAAAAAAAAAAAAAAAAKsEAABkcnMvZG93bnJldi54bWxQSwUGAAAA&#10;AAQABADzAAAAtAUAAAAA&#10;" fillcolor="white [3201]" strokeweight=".5pt">
                <v:textbox style="mso-fit-shape-to-text:t">
                  <w:txbxContent>
                    <w:p w14:paraId="3B6CD3E2" w14:textId="77777777" w:rsidR="00E376B5" w:rsidRPr="007A4B66" w:rsidRDefault="00E376B5" w:rsidP="006D0663">
                      <w:pPr>
                        <w:snapToGrid w:val="0"/>
                        <w:jc w:val="both"/>
                        <w:rPr>
                          <w:rFonts w:ascii="Times New Roman" w:eastAsia="Malgun Gothic" w:hAnsi="Times New Roman" w:cs="Times New Roman"/>
                          <w:b/>
                          <w:bCs/>
                          <w:szCs w:val="20"/>
                          <w:highlight w:val="darkYellow"/>
                        </w:rPr>
                      </w:pPr>
                      <w:r w:rsidRPr="007A4B66">
                        <w:rPr>
                          <w:rFonts w:ascii="Times New Roman" w:eastAsia="SimSun" w:hAnsi="Times New Roman" w:cs="Times New Roman"/>
                          <w:b/>
                          <w:bCs/>
                          <w:szCs w:val="20"/>
                          <w:highlight w:val="darkYellow"/>
                        </w:rPr>
                        <w:t>Working Assumption</w:t>
                      </w:r>
                    </w:p>
                    <w:p w14:paraId="59094FBB" w14:textId="77777777" w:rsidR="00E376B5" w:rsidRPr="007A4B66" w:rsidRDefault="00E376B5" w:rsidP="006D0663">
                      <w:pPr>
                        <w:snapToGrid w:val="0"/>
                        <w:jc w:val="both"/>
                        <w:rPr>
                          <w:rFonts w:ascii="Times New Roman" w:eastAsia="Malgun Gothic" w:hAnsi="Times New Roman" w:cs="Times New Roman"/>
                          <w:szCs w:val="20"/>
                        </w:rPr>
                      </w:pPr>
                      <w:r w:rsidRPr="007A4B66">
                        <w:rPr>
                          <w:rFonts w:ascii="Times New Roman" w:eastAsia="Malgun Gothic" w:hAnsi="Times New Roman" w:cs="Times New Roman"/>
                          <w:szCs w:val="20"/>
                        </w:rPr>
                        <w:t xml:space="preserve">On Rel.17 beam indication enhancements </w:t>
                      </w:r>
                      <w:r w:rsidRPr="007A4B66">
                        <w:rPr>
                          <w:rFonts w:ascii="Times New Roman" w:eastAsia="Malgun Gothic" w:hAnsi="Times New Roman" w:cs="Times New Roman"/>
                          <w:color w:val="000000"/>
                          <w:szCs w:val="20"/>
                        </w:rPr>
                        <w:t>for L1/L2-centric inter-cell mobility</w:t>
                      </w:r>
                      <w:r w:rsidRPr="007A4B66">
                        <w:rPr>
                          <w:rFonts w:ascii="Times New Roman" w:eastAsia="Malgun Gothic" w:hAnsi="Times New Roman" w:cs="Times New Roman"/>
                          <w:szCs w:val="20"/>
                        </w:rPr>
                        <w:t>, support the following:</w:t>
                      </w:r>
                    </w:p>
                    <w:p w14:paraId="55448F7A" w14:textId="77777777" w:rsidR="00E376B5" w:rsidRPr="007A4B66" w:rsidRDefault="00E376B5" w:rsidP="00C4412A">
                      <w:pPr>
                        <w:numPr>
                          <w:ilvl w:val="0"/>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Rel-17 MAC-CE-based and/or DCI-based beam indication (at least using DCI formats 1_1/1_2 with and without DL assignment including the associated MAC-CE-based TCI state activation) </w:t>
                      </w:r>
                    </w:p>
                    <w:p w14:paraId="42410D4B" w14:textId="77777777" w:rsidR="00E376B5" w:rsidRPr="007A4B66" w:rsidRDefault="00E376B5"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FFS (to be decided in RAN1#106-e): Whether this also applies to </w:t>
                      </w:r>
                      <w:r w:rsidRPr="007A4B66">
                        <w:rPr>
                          <w:rFonts w:ascii="Times New Roman" w:eastAsia="Times New Roman" w:hAnsi="Times New Roman" w:cs="Times New Roman"/>
                          <w:szCs w:val="20"/>
                        </w:rPr>
                        <w:t>PDSCH/PUSCH associated with UE-dedicated CORESETs only or additional target channels (</w:t>
                      </w:r>
                      <w:proofErr w:type="gramStart"/>
                      <w:r w:rsidRPr="007A4B66">
                        <w:rPr>
                          <w:rFonts w:ascii="Times New Roman" w:eastAsia="Times New Roman" w:hAnsi="Times New Roman" w:cs="Times New Roman"/>
                          <w:szCs w:val="20"/>
                        </w:rPr>
                        <w:t>e.g.</w:t>
                      </w:r>
                      <w:proofErr w:type="gramEnd"/>
                      <w:r w:rsidRPr="007A4B66">
                        <w:rPr>
                          <w:rFonts w:ascii="Times New Roman" w:eastAsia="Times New Roman" w:hAnsi="Times New Roman" w:cs="Times New Roman"/>
                          <w:szCs w:val="20"/>
                        </w:rPr>
                        <w:t xml:space="preserve"> UE-dedicated PDCCH/PUCCH) </w:t>
                      </w:r>
                    </w:p>
                    <w:p w14:paraId="54A7C525" w14:textId="77777777" w:rsidR="00E376B5" w:rsidRPr="007A4B66" w:rsidRDefault="00E376B5"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FFS: Whether the above is supported only for joint TCI, or both joint TCI and separate DL/UL TCI (including that, if separate DL/UL TCI is supported, the DL TCI and UL TCI associated with a same cell) </w:t>
                      </w:r>
                    </w:p>
                    <w:p w14:paraId="4343008C" w14:textId="77777777" w:rsidR="00E376B5" w:rsidRPr="007A4B66" w:rsidRDefault="00E376B5"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FFS: Whether to support activation of TCI states for more than one cells simultaneously</w:t>
                      </w:r>
                    </w:p>
                    <w:p w14:paraId="7C78C81B" w14:textId="77777777" w:rsidR="00E376B5" w:rsidRPr="007A4B66" w:rsidRDefault="00E376B5"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FFS: Whether down-selection between MAC-CE only based and MAC-CE+DCI-based beam indication scheme is necessary</w:t>
                      </w:r>
                    </w:p>
                    <w:p w14:paraId="40A1BE6D" w14:textId="77777777" w:rsidR="00E376B5" w:rsidRPr="007A4B66" w:rsidRDefault="00E376B5" w:rsidP="00C4412A">
                      <w:pPr>
                        <w:numPr>
                          <w:ilvl w:val="0"/>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The DL QCL and UL spatial relation rules already agreed for intra-cell scenario </w:t>
                      </w:r>
                    </w:p>
                    <w:p w14:paraId="181336F0" w14:textId="77777777" w:rsidR="00E376B5" w:rsidRPr="007A4B66" w:rsidRDefault="00E376B5" w:rsidP="00C4412A">
                      <w:pPr>
                        <w:numPr>
                          <w:ilvl w:val="0"/>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FFS: The use of SSB associated with a physical cell ID different from that of the serving cell as an indirect QCL reference for UE-dedicated PDSCH </w:t>
                      </w:r>
                    </w:p>
                    <w:p w14:paraId="342F58C6" w14:textId="77777777" w:rsidR="00E376B5" w:rsidRPr="007A4B66" w:rsidRDefault="00E376B5"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FFS (to be decided in RAN1#106-e): Whether this also applies to UE-dedicated PDCCH </w:t>
                      </w:r>
                    </w:p>
                    <w:p w14:paraId="176D77A1" w14:textId="77777777" w:rsidR="00E376B5" w:rsidRPr="007A4B66" w:rsidRDefault="00E376B5"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Note: When RS X is an indirect QCL reference of a target channel, there exists at least one other source signal on the QCL chain between RS X and the target channel</w:t>
                      </w:r>
                    </w:p>
                    <w:p w14:paraId="53839A7F" w14:textId="340E39C5" w:rsidR="00E376B5" w:rsidRPr="006D0663" w:rsidRDefault="00E376B5"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FFS (to be decided in RAN1#106-e): Whether SSB associated with a physical cell ID different from that of the serving cell can also be used as a direct QCL reference (source RS) for UE-dedicated PDCCH/PDSCH</w:t>
                      </w:r>
                    </w:p>
                  </w:txbxContent>
                </v:textbox>
                <w10:anchorlock/>
              </v:shape>
            </w:pict>
          </mc:Fallback>
        </mc:AlternateContent>
      </w:r>
    </w:p>
    <w:p w14:paraId="53D3CAE7" w14:textId="33240344" w:rsidR="00207A6B" w:rsidRDefault="00207A6B" w:rsidP="00D5149A">
      <w:r>
        <w:t xml:space="preserve">We note that the working assumption still uses the term “L1/L2-centric inter-cell mobility”. </w:t>
      </w:r>
    </w:p>
    <w:p w14:paraId="5772E613" w14:textId="38811595" w:rsidR="009D79E4" w:rsidRDefault="009D79E4" w:rsidP="00D5149A">
      <w:r>
        <w:t>The working assumption discusses beam indication enhancements. In the updated WID, it is stated that inter-cell beam management should be supported using the Rel-17 unified TCI framework. Confirming the working assumption with the relevant formulation updates are thus required to fulfill the WID.</w:t>
      </w:r>
    </w:p>
    <w:p w14:paraId="4B25D2DD" w14:textId="2ECB5EEB" w:rsidR="00DC29B0" w:rsidRDefault="00DC29B0" w:rsidP="00D5149A">
      <w:r>
        <w:t>To align and clean up the working assumption, the following updates are needed:</w:t>
      </w:r>
    </w:p>
    <w:p w14:paraId="4B053B1B" w14:textId="3813CCD5" w:rsidR="00DC29B0" w:rsidRPr="00B61AB2" w:rsidRDefault="00DC29B0" w:rsidP="00C4412A">
      <w:pPr>
        <w:pStyle w:val="ListParagraph"/>
        <w:numPr>
          <w:ilvl w:val="0"/>
          <w:numId w:val="43"/>
        </w:numPr>
        <w:rPr>
          <w:rFonts w:ascii="Arial" w:hAnsi="Arial" w:cs="Arial"/>
          <w:sz w:val="20"/>
          <w:szCs w:val="20"/>
        </w:rPr>
      </w:pPr>
      <w:r w:rsidRPr="00DC29B0">
        <w:rPr>
          <w:rFonts w:ascii="Arial" w:hAnsi="Arial" w:cs="Arial"/>
          <w:sz w:val="20"/>
          <w:szCs w:val="20"/>
          <w:lang w:val="en-US"/>
        </w:rPr>
        <w:t>Use the term ”inter-cell beam management” rather than “L1/L2-centric inter-cell mobility”</w:t>
      </w:r>
    </w:p>
    <w:p w14:paraId="68DE891B" w14:textId="1257371C" w:rsidR="00DC29B0" w:rsidRPr="00DC29B0" w:rsidRDefault="00DC29B0" w:rsidP="00C4412A">
      <w:pPr>
        <w:pStyle w:val="ListParagraph"/>
        <w:numPr>
          <w:ilvl w:val="0"/>
          <w:numId w:val="43"/>
        </w:numPr>
        <w:rPr>
          <w:rFonts w:ascii="Arial" w:hAnsi="Arial" w:cs="Arial"/>
          <w:sz w:val="20"/>
          <w:szCs w:val="20"/>
        </w:rPr>
      </w:pPr>
      <w:r>
        <w:rPr>
          <w:rFonts w:ascii="Arial" w:hAnsi="Arial" w:cs="Arial"/>
          <w:sz w:val="20"/>
          <w:szCs w:val="20"/>
          <w:lang w:val="en-US"/>
        </w:rPr>
        <w:t>Remove the first FFS related to additional target channels: since this is based on the Rel-17 unified TCI framework, the baseline operation must be supported.</w:t>
      </w:r>
    </w:p>
    <w:p w14:paraId="36E9F9E6" w14:textId="20ACAFAB" w:rsidR="00DC29B0" w:rsidRPr="00D90BF6" w:rsidRDefault="00DC29B0" w:rsidP="00C4412A">
      <w:pPr>
        <w:pStyle w:val="ListParagraph"/>
        <w:numPr>
          <w:ilvl w:val="0"/>
          <w:numId w:val="43"/>
        </w:numPr>
        <w:rPr>
          <w:rFonts w:ascii="Arial" w:hAnsi="Arial" w:cs="Arial"/>
          <w:sz w:val="20"/>
          <w:szCs w:val="20"/>
        </w:rPr>
      </w:pPr>
      <w:r>
        <w:rPr>
          <w:rFonts w:ascii="Arial" w:hAnsi="Arial" w:cs="Arial"/>
          <w:sz w:val="20"/>
          <w:szCs w:val="20"/>
          <w:lang w:val="en-US"/>
        </w:rPr>
        <w:t>Change the term “spatial relation” to “source RS for UL Tx spatial filter”, since spatial relations are not used for the Rel-17 unified TCI framework</w:t>
      </w:r>
    </w:p>
    <w:p w14:paraId="0C06A11F" w14:textId="30C89743" w:rsidR="00D90BF6" w:rsidRPr="00D90BF6" w:rsidRDefault="00D90BF6" w:rsidP="00C4412A">
      <w:pPr>
        <w:pStyle w:val="ListParagraph"/>
        <w:numPr>
          <w:ilvl w:val="0"/>
          <w:numId w:val="43"/>
        </w:numPr>
        <w:rPr>
          <w:rFonts w:ascii="Arial" w:hAnsi="Arial" w:cs="Arial"/>
          <w:sz w:val="20"/>
          <w:szCs w:val="20"/>
          <w:lang w:val="en-US"/>
        </w:rPr>
      </w:pPr>
      <w:r w:rsidRPr="00D90BF6">
        <w:rPr>
          <w:rFonts w:ascii="Arial" w:hAnsi="Arial" w:cs="Arial"/>
          <w:sz w:val="20"/>
          <w:szCs w:val="20"/>
        </w:rPr>
        <w:t xml:space="preserve">Agree to a shortened version of the last FFS, since the updated WID states that beam indication </w:t>
      </w:r>
      <w:r w:rsidRPr="00D90BF6">
        <w:rPr>
          <w:rFonts w:ascii="Arial" w:hAnsi="Arial" w:cs="Arial"/>
          <w:sz w:val="20"/>
          <w:szCs w:val="20"/>
          <w:lang w:val="en-US"/>
        </w:rPr>
        <w:t xml:space="preserve">associated with cell(s) with any Physical Cell ID(s) should be supported. </w:t>
      </w:r>
      <w:r>
        <w:rPr>
          <w:rFonts w:ascii="Arial" w:hAnsi="Arial" w:cs="Arial"/>
          <w:sz w:val="20"/>
          <w:szCs w:val="20"/>
          <w:lang w:val="en-US"/>
        </w:rPr>
        <w:t xml:space="preserve">Since the baseline operation of the Rel-17 unified TCI framework should be supported, there is no special handling for PDSCH. </w:t>
      </w:r>
      <w:r w:rsidRPr="00D90BF6">
        <w:rPr>
          <w:rFonts w:ascii="Arial" w:hAnsi="Arial" w:cs="Arial"/>
          <w:sz w:val="20"/>
          <w:szCs w:val="20"/>
          <w:lang w:val="en-US"/>
        </w:rPr>
        <w:t>The sub-bullets of this FFS are not needed.</w:t>
      </w:r>
    </w:p>
    <w:p w14:paraId="3FA13AA7" w14:textId="1A0D95E3" w:rsidR="00D90BF6" w:rsidRDefault="00D90BF6" w:rsidP="00D90BF6">
      <w:pPr>
        <w:rPr>
          <w:rFonts w:cs="Arial"/>
          <w:szCs w:val="20"/>
        </w:rPr>
      </w:pPr>
      <w:r>
        <w:rPr>
          <w:rFonts w:cs="Arial"/>
          <w:szCs w:val="20"/>
        </w:rPr>
        <w:t>Hence, we propose to confirm the WA with the following updates:</w:t>
      </w:r>
    </w:p>
    <w:p w14:paraId="69959311" w14:textId="77777777" w:rsidR="00D90BF6" w:rsidRPr="00D5149A" w:rsidRDefault="00D90BF6" w:rsidP="00D90BF6">
      <w:pPr>
        <w:pStyle w:val="BodyText"/>
      </w:pPr>
      <w:r w:rsidRPr="00D5149A">
        <w:rPr>
          <w:noProof/>
        </w:rPr>
        <w:lastRenderedPageBreak/>
        <mc:AlternateContent>
          <mc:Choice Requires="wps">
            <w:drawing>
              <wp:inline distT="0" distB="0" distL="0" distR="0" wp14:anchorId="2A37D9D4" wp14:editId="3BAC6E03">
                <wp:extent cx="6146359" cy="771276"/>
                <wp:effectExtent l="0" t="0" r="26035" b="24765"/>
                <wp:docPr id="18" name="Text Box 18"/>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0B4070F2" w14:textId="0349A576" w:rsidR="00E376B5" w:rsidRPr="00D90BF6" w:rsidRDefault="00E376B5" w:rsidP="00D90BF6">
                            <w:pPr>
                              <w:snapToGrid w:val="0"/>
                              <w:jc w:val="both"/>
                              <w:rPr>
                                <w:rFonts w:ascii="Times New Roman" w:eastAsia="Malgun Gothic" w:hAnsi="Times New Roman" w:cs="Times New Roman"/>
                                <w:b/>
                                <w:bCs/>
                                <w:szCs w:val="20"/>
                              </w:rPr>
                            </w:pPr>
                            <w:r w:rsidRPr="00D90BF6">
                              <w:rPr>
                                <w:rFonts w:ascii="Times New Roman" w:eastAsia="SimSun" w:hAnsi="Times New Roman" w:cs="Times New Roman"/>
                                <w:b/>
                                <w:bCs/>
                                <w:szCs w:val="20"/>
                              </w:rPr>
                              <w:t>Proposed agreement:</w:t>
                            </w:r>
                          </w:p>
                          <w:p w14:paraId="4239B28E" w14:textId="1AC1BA12" w:rsidR="00E376B5" w:rsidRPr="007A4B66" w:rsidRDefault="00E376B5" w:rsidP="00D90BF6">
                            <w:pPr>
                              <w:snapToGrid w:val="0"/>
                              <w:jc w:val="both"/>
                              <w:rPr>
                                <w:rFonts w:ascii="Times New Roman" w:eastAsia="Malgun Gothic" w:hAnsi="Times New Roman" w:cs="Times New Roman"/>
                                <w:szCs w:val="20"/>
                              </w:rPr>
                            </w:pPr>
                            <w:r w:rsidRPr="007A4B66">
                              <w:rPr>
                                <w:rFonts w:ascii="Times New Roman" w:eastAsia="Malgun Gothic" w:hAnsi="Times New Roman" w:cs="Times New Roman"/>
                                <w:szCs w:val="20"/>
                              </w:rPr>
                              <w:t xml:space="preserve">On Rel.17 beam indication enhancements </w:t>
                            </w:r>
                            <w:r w:rsidRPr="007A4B66">
                              <w:rPr>
                                <w:rFonts w:ascii="Times New Roman" w:eastAsia="Malgun Gothic" w:hAnsi="Times New Roman" w:cs="Times New Roman"/>
                                <w:color w:val="000000"/>
                                <w:szCs w:val="20"/>
                              </w:rPr>
                              <w:t xml:space="preserve">for </w:t>
                            </w:r>
                            <w:r w:rsidRPr="00D90BF6">
                              <w:rPr>
                                <w:rFonts w:ascii="Times New Roman" w:eastAsia="Malgun Gothic" w:hAnsi="Times New Roman" w:cs="Times New Roman"/>
                                <w:strike/>
                                <w:color w:val="000000"/>
                                <w:szCs w:val="20"/>
                              </w:rPr>
                              <w:t>L1/L2-centric</w:t>
                            </w:r>
                            <w:r w:rsidRPr="007A4B66">
                              <w:rPr>
                                <w:rFonts w:ascii="Times New Roman" w:eastAsia="Malgun Gothic" w:hAnsi="Times New Roman" w:cs="Times New Roman"/>
                                <w:color w:val="000000"/>
                                <w:szCs w:val="20"/>
                              </w:rPr>
                              <w:t xml:space="preserve"> inter-cell </w:t>
                            </w:r>
                            <w:r>
                              <w:rPr>
                                <w:rFonts w:ascii="Times New Roman" w:eastAsia="Malgun Gothic" w:hAnsi="Times New Roman" w:cs="Times New Roman"/>
                                <w:color w:val="000000"/>
                                <w:szCs w:val="20"/>
                              </w:rPr>
                              <w:t xml:space="preserve">beam </w:t>
                            </w:r>
                            <w:r w:rsidRPr="00D90BF6">
                              <w:rPr>
                                <w:rFonts w:ascii="Times New Roman" w:eastAsia="Malgun Gothic" w:hAnsi="Times New Roman" w:cs="Times New Roman"/>
                                <w:strike/>
                                <w:color w:val="000000"/>
                                <w:szCs w:val="20"/>
                              </w:rPr>
                              <w:t>mobility</w:t>
                            </w:r>
                            <w:r>
                              <w:rPr>
                                <w:rFonts w:ascii="Times New Roman" w:eastAsia="Malgun Gothic" w:hAnsi="Times New Roman" w:cs="Times New Roman"/>
                                <w:szCs w:val="20"/>
                              </w:rPr>
                              <w:t xml:space="preserve"> </w:t>
                            </w:r>
                            <w:r w:rsidRPr="00D90BF6">
                              <w:rPr>
                                <w:rFonts w:ascii="Times New Roman" w:eastAsia="Malgun Gothic" w:hAnsi="Times New Roman" w:cs="Times New Roman"/>
                                <w:color w:val="FF0000"/>
                                <w:szCs w:val="20"/>
                              </w:rPr>
                              <w:t>beam management</w:t>
                            </w:r>
                            <w:r w:rsidRPr="007A4B66">
                              <w:rPr>
                                <w:rFonts w:ascii="Times New Roman" w:eastAsia="Malgun Gothic" w:hAnsi="Times New Roman" w:cs="Times New Roman"/>
                                <w:szCs w:val="20"/>
                              </w:rPr>
                              <w:t>, support the following:</w:t>
                            </w:r>
                          </w:p>
                          <w:p w14:paraId="3A83C5BB" w14:textId="77777777" w:rsidR="00E376B5" w:rsidRPr="007A4B66" w:rsidRDefault="00E376B5" w:rsidP="00C4412A">
                            <w:pPr>
                              <w:numPr>
                                <w:ilvl w:val="0"/>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Rel-17 MAC-CE-based and</w:t>
                            </w:r>
                            <w:r w:rsidRPr="00B61AB2">
                              <w:rPr>
                                <w:rFonts w:ascii="Times New Roman" w:eastAsia="SimSun" w:hAnsi="Times New Roman" w:cs="Times New Roman"/>
                                <w:szCs w:val="20"/>
                              </w:rPr>
                              <w:t>/or</w:t>
                            </w:r>
                            <w:r w:rsidRPr="007A4B66">
                              <w:rPr>
                                <w:rFonts w:ascii="Times New Roman" w:eastAsia="SimSun" w:hAnsi="Times New Roman" w:cs="Times New Roman"/>
                                <w:szCs w:val="20"/>
                              </w:rPr>
                              <w:t xml:space="preserve"> DCI-based beam indication (at least using DCI formats 1_1/1_2 with and without DL assignment including the associated MAC-CE-based TCI state activation) </w:t>
                            </w:r>
                          </w:p>
                          <w:p w14:paraId="6C457019" w14:textId="77777777" w:rsidR="00E376B5" w:rsidRPr="00D90BF6" w:rsidRDefault="00E376B5" w:rsidP="00C4412A">
                            <w:pPr>
                              <w:numPr>
                                <w:ilvl w:val="1"/>
                                <w:numId w:val="26"/>
                              </w:numPr>
                              <w:snapToGrid w:val="0"/>
                              <w:spacing w:after="0" w:line="240" w:lineRule="auto"/>
                              <w:jc w:val="both"/>
                              <w:rPr>
                                <w:rFonts w:ascii="Times New Roman" w:eastAsia="SimSun" w:hAnsi="Times New Roman" w:cs="Times New Roman"/>
                                <w:strike/>
                                <w:szCs w:val="20"/>
                              </w:rPr>
                            </w:pPr>
                            <w:r w:rsidRPr="00D90BF6">
                              <w:rPr>
                                <w:rFonts w:ascii="Times New Roman" w:eastAsia="SimSun" w:hAnsi="Times New Roman" w:cs="Times New Roman"/>
                                <w:strike/>
                                <w:szCs w:val="20"/>
                              </w:rPr>
                              <w:t xml:space="preserve">FFS (to be decided in RAN1#106-e): Whether this also applies to </w:t>
                            </w:r>
                            <w:r w:rsidRPr="00D90BF6">
                              <w:rPr>
                                <w:rFonts w:ascii="Times New Roman" w:eastAsia="Times New Roman" w:hAnsi="Times New Roman" w:cs="Times New Roman"/>
                                <w:strike/>
                                <w:szCs w:val="20"/>
                              </w:rPr>
                              <w:t xml:space="preserve">PDSCH/PUSCH associated with UE-dedicated CORESETs only or additional target channels (e.g. UE-dedicated PDCCH/PUCCH) </w:t>
                            </w:r>
                          </w:p>
                          <w:p w14:paraId="3EEA4EC4" w14:textId="77777777" w:rsidR="00E376B5" w:rsidRPr="007A4B66" w:rsidRDefault="00E376B5"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FFS: Whether the above is supported only for joint TCI, or both joint TCI and separate DL/UL TCI (including that, if separate DL/UL TCI is supported, the DL TCI and UL TCI associated with a same cell) </w:t>
                            </w:r>
                          </w:p>
                          <w:p w14:paraId="3DDC8D65" w14:textId="77777777" w:rsidR="00E376B5" w:rsidRPr="007A4B66" w:rsidRDefault="00E376B5"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FFS: Whether to support activation of TCI states for more than one cells simultaneously</w:t>
                            </w:r>
                          </w:p>
                          <w:p w14:paraId="51292D83" w14:textId="77777777" w:rsidR="00E376B5" w:rsidRPr="007A4B66" w:rsidRDefault="00E376B5"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FFS: Whether down-selection between MAC-CE only based and MAC-CE+DCI-based beam indication scheme is necessary</w:t>
                            </w:r>
                          </w:p>
                          <w:p w14:paraId="33C3E1EB" w14:textId="1313923D" w:rsidR="00E376B5" w:rsidRPr="00D90BF6" w:rsidRDefault="00E376B5" w:rsidP="00C4412A">
                            <w:pPr>
                              <w:numPr>
                                <w:ilvl w:val="0"/>
                                <w:numId w:val="26"/>
                              </w:numPr>
                              <w:snapToGrid w:val="0"/>
                              <w:spacing w:after="0" w:line="240" w:lineRule="auto"/>
                              <w:jc w:val="both"/>
                              <w:rPr>
                                <w:rFonts w:ascii="Times New Roman" w:eastAsia="SimSun" w:hAnsi="Times New Roman" w:cs="Times New Roman"/>
                                <w:szCs w:val="20"/>
                              </w:rPr>
                            </w:pPr>
                            <w:r w:rsidRPr="00D90BF6">
                              <w:rPr>
                                <w:rFonts w:ascii="Times New Roman" w:eastAsia="SimSun" w:hAnsi="Times New Roman" w:cs="Times New Roman"/>
                                <w:strike/>
                                <w:szCs w:val="20"/>
                              </w:rPr>
                              <w:t>The DL QCL and UL spatial relation rules</w:t>
                            </w:r>
                            <w:r w:rsidRPr="00D90BF6">
                              <w:rPr>
                                <w:rFonts w:ascii="Times New Roman" w:eastAsia="SimSun" w:hAnsi="Times New Roman" w:cs="Times New Roman"/>
                                <w:szCs w:val="20"/>
                              </w:rPr>
                              <w:t xml:space="preserve"> </w:t>
                            </w:r>
                            <w:r w:rsidRPr="00D90BF6">
                              <w:rPr>
                                <w:rFonts w:ascii="Times New Roman" w:eastAsia="SimSun" w:hAnsi="Times New Roman" w:cs="Times New Roman"/>
                                <w:color w:val="FF0000"/>
                                <w:szCs w:val="20"/>
                              </w:rPr>
                              <w:t xml:space="preserve">The rules for DL QCL and UL Tx spatial </w:t>
                            </w:r>
                            <w:r>
                              <w:rPr>
                                <w:rFonts w:ascii="Times New Roman" w:eastAsia="SimSun" w:hAnsi="Times New Roman" w:cs="Times New Roman"/>
                                <w:szCs w:val="20"/>
                              </w:rPr>
                              <w:t xml:space="preserve">filter </w:t>
                            </w:r>
                            <w:r w:rsidRPr="00D90BF6">
                              <w:rPr>
                                <w:rFonts w:ascii="Times New Roman" w:eastAsia="SimSun" w:hAnsi="Times New Roman" w:cs="Times New Roman"/>
                                <w:szCs w:val="20"/>
                              </w:rPr>
                              <w:t xml:space="preserve">already agreed for intra-cell scenario </w:t>
                            </w:r>
                          </w:p>
                          <w:p w14:paraId="7CBEBA5A" w14:textId="7DFB1D46" w:rsidR="00E376B5" w:rsidRPr="007A4B66" w:rsidRDefault="00E376B5" w:rsidP="00C4412A">
                            <w:pPr>
                              <w:numPr>
                                <w:ilvl w:val="0"/>
                                <w:numId w:val="26"/>
                              </w:numPr>
                              <w:snapToGrid w:val="0"/>
                              <w:spacing w:after="0" w:line="240" w:lineRule="auto"/>
                              <w:jc w:val="both"/>
                              <w:rPr>
                                <w:rFonts w:ascii="Times New Roman" w:eastAsia="SimSun" w:hAnsi="Times New Roman" w:cs="Times New Roman"/>
                                <w:szCs w:val="20"/>
                              </w:rPr>
                            </w:pPr>
                            <w:r w:rsidRPr="00D90BF6">
                              <w:rPr>
                                <w:rFonts w:ascii="Times New Roman" w:eastAsia="SimSun" w:hAnsi="Times New Roman" w:cs="Times New Roman"/>
                                <w:strike/>
                                <w:szCs w:val="20"/>
                              </w:rPr>
                              <w:t>FFS:</w:t>
                            </w:r>
                            <w:r w:rsidRPr="007A4B66">
                              <w:rPr>
                                <w:rFonts w:ascii="Times New Roman" w:eastAsia="SimSun" w:hAnsi="Times New Roman" w:cs="Times New Roman"/>
                                <w:szCs w:val="20"/>
                              </w:rPr>
                              <w:t xml:space="preserve"> The use of SSB associated with a physical cell ID different from that of the serving cell as an indirect QCL reference </w:t>
                            </w:r>
                            <w:r w:rsidRPr="00D90BF6">
                              <w:rPr>
                                <w:rFonts w:ascii="Times New Roman" w:eastAsia="SimSun" w:hAnsi="Times New Roman" w:cs="Times New Roman"/>
                                <w:strike/>
                                <w:szCs w:val="20"/>
                              </w:rPr>
                              <w:t>for UE-dedicated PDSCH</w:t>
                            </w:r>
                            <w:r w:rsidRPr="007A4B66">
                              <w:rPr>
                                <w:rFonts w:ascii="Times New Roman" w:eastAsia="SimSun" w:hAnsi="Times New Roman" w:cs="Times New Roman"/>
                                <w:szCs w:val="20"/>
                              </w:rPr>
                              <w:t xml:space="preserve"> </w:t>
                            </w:r>
                          </w:p>
                          <w:p w14:paraId="3C000190" w14:textId="77777777" w:rsidR="00E376B5" w:rsidRPr="00D90BF6" w:rsidRDefault="00E376B5" w:rsidP="00C4412A">
                            <w:pPr>
                              <w:numPr>
                                <w:ilvl w:val="1"/>
                                <w:numId w:val="26"/>
                              </w:numPr>
                              <w:snapToGrid w:val="0"/>
                              <w:spacing w:after="0" w:line="240" w:lineRule="auto"/>
                              <w:jc w:val="both"/>
                              <w:rPr>
                                <w:rFonts w:ascii="Times New Roman" w:eastAsia="SimSun" w:hAnsi="Times New Roman" w:cs="Times New Roman"/>
                                <w:strike/>
                                <w:szCs w:val="20"/>
                              </w:rPr>
                            </w:pPr>
                            <w:r w:rsidRPr="00D90BF6">
                              <w:rPr>
                                <w:rFonts w:ascii="Times New Roman" w:eastAsia="SimSun" w:hAnsi="Times New Roman" w:cs="Times New Roman"/>
                                <w:strike/>
                                <w:szCs w:val="20"/>
                              </w:rPr>
                              <w:t xml:space="preserve">FFS (to be decided in RAN1#106-e): Whether this also applies to UE-dedicated PDCCH </w:t>
                            </w:r>
                          </w:p>
                          <w:p w14:paraId="6748B652" w14:textId="77777777" w:rsidR="00E376B5" w:rsidRPr="00D90BF6" w:rsidRDefault="00E376B5" w:rsidP="00C4412A">
                            <w:pPr>
                              <w:numPr>
                                <w:ilvl w:val="1"/>
                                <w:numId w:val="26"/>
                              </w:numPr>
                              <w:snapToGrid w:val="0"/>
                              <w:spacing w:after="0" w:line="240" w:lineRule="auto"/>
                              <w:jc w:val="both"/>
                              <w:rPr>
                                <w:rFonts w:ascii="Times New Roman" w:eastAsia="SimSun" w:hAnsi="Times New Roman" w:cs="Times New Roman"/>
                                <w:szCs w:val="20"/>
                              </w:rPr>
                            </w:pPr>
                            <w:r w:rsidRPr="00D90BF6">
                              <w:rPr>
                                <w:rFonts w:ascii="Times New Roman" w:eastAsia="SimSun" w:hAnsi="Times New Roman" w:cs="Times New Roman"/>
                                <w:szCs w:val="20"/>
                              </w:rPr>
                              <w:t>Note: When RS X is an indirect QCL reference of a target channel, there exists at least one other source signal on the QCL chain between RS X and the target channel</w:t>
                            </w:r>
                          </w:p>
                          <w:p w14:paraId="6B874CCA" w14:textId="77777777" w:rsidR="00E376B5" w:rsidRPr="00D90BF6" w:rsidRDefault="00E376B5" w:rsidP="00C4412A">
                            <w:pPr>
                              <w:numPr>
                                <w:ilvl w:val="1"/>
                                <w:numId w:val="26"/>
                              </w:numPr>
                              <w:snapToGrid w:val="0"/>
                              <w:spacing w:after="0" w:line="240" w:lineRule="auto"/>
                              <w:jc w:val="both"/>
                              <w:rPr>
                                <w:rFonts w:ascii="Times New Roman" w:eastAsia="SimSun" w:hAnsi="Times New Roman" w:cs="Times New Roman"/>
                                <w:strike/>
                                <w:szCs w:val="20"/>
                              </w:rPr>
                            </w:pPr>
                            <w:r w:rsidRPr="00D90BF6">
                              <w:rPr>
                                <w:rFonts w:ascii="Times New Roman" w:eastAsia="SimSun" w:hAnsi="Times New Roman" w:cs="Times New Roman"/>
                                <w:strike/>
                                <w:szCs w:val="20"/>
                              </w:rPr>
                              <w:t>FFS (to be decided in RAN1#106-e): Whether SSB associated with a physical cell ID different from that of the serving cell can also be used as a direct QCL reference (source RS) for UE-dedicated PDCCH/PDSCH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A37D9D4" id="Text Box 18" o:spid="_x0000_s1038"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" fillcolor="white [3201]" strokeweight=".5pt">
                <v:textbox style="mso-fit-shape-to-text:t">
                  <w:txbxContent>
                    <w:p w14:paraId="0B4070F2" w14:textId="0349A576" w:rsidR="00E376B5" w:rsidRPr="00D90BF6" w:rsidRDefault="00E376B5" w:rsidP="00D90BF6">
                      <w:pPr>
                        <w:snapToGrid w:val="0"/>
                        <w:jc w:val="both"/>
                        <w:rPr>
                          <w:rFonts w:ascii="Times New Roman" w:eastAsia="Malgun Gothic" w:hAnsi="Times New Roman" w:cs="Times New Roman"/>
                          <w:b/>
                          <w:bCs/>
                          <w:szCs w:val="20"/>
                        </w:rPr>
                      </w:pPr>
                      <w:r w:rsidRPr="00D90BF6">
                        <w:rPr>
                          <w:rFonts w:ascii="Times New Roman" w:eastAsia="SimSun" w:hAnsi="Times New Roman" w:cs="Times New Roman"/>
                          <w:b/>
                          <w:bCs/>
                          <w:szCs w:val="20"/>
                        </w:rPr>
                        <w:t>Proposed agreement:</w:t>
                      </w:r>
                    </w:p>
                    <w:p w14:paraId="4239B28E" w14:textId="1AC1BA12" w:rsidR="00E376B5" w:rsidRPr="007A4B66" w:rsidRDefault="00E376B5" w:rsidP="00D90BF6">
                      <w:pPr>
                        <w:snapToGrid w:val="0"/>
                        <w:jc w:val="both"/>
                        <w:rPr>
                          <w:rFonts w:ascii="Times New Roman" w:eastAsia="Malgun Gothic" w:hAnsi="Times New Roman" w:cs="Times New Roman"/>
                          <w:szCs w:val="20"/>
                        </w:rPr>
                      </w:pPr>
                      <w:r w:rsidRPr="007A4B66">
                        <w:rPr>
                          <w:rFonts w:ascii="Times New Roman" w:eastAsia="Malgun Gothic" w:hAnsi="Times New Roman" w:cs="Times New Roman"/>
                          <w:szCs w:val="20"/>
                        </w:rPr>
                        <w:t xml:space="preserve">On Rel.17 beam indication enhancements </w:t>
                      </w:r>
                      <w:r w:rsidRPr="007A4B66">
                        <w:rPr>
                          <w:rFonts w:ascii="Times New Roman" w:eastAsia="Malgun Gothic" w:hAnsi="Times New Roman" w:cs="Times New Roman"/>
                          <w:color w:val="000000"/>
                          <w:szCs w:val="20"/>
                        </w:rPr>
                        <w:t xml:space="preserve">for </w:t>
                      </w:r>
                      <w:r w:rsidRPr="00D90BF6">
                        <w:rPr>
                          <w:rFonts w:ascii="Times New Roman" w:eastAsia="Malgun Gothic" w:hAnsi="Times New Roman" w:cs="Times New Roman"/>
                          <w:strike/>
                          <w:color w:val="000000"/>
                          <w:szCs w:val="20"/>
                        </w:rPr>
                        <w:t>L1/L2-centric</w:t>
                      </w:r>
                      <w:r w:rsidRPr="007A4B66">
                        <w:rPr>
                          <w:rFonts w:ascii="Times New Roman" w:eastAsia="Malgun Gothic" w:hAnsi="Times New Roman" w:cs="Times New Roman"/>
                          <w:color w:val="000000"/>
                          <w:szCs w:val="20"/>
                        </w:rPr>
                        <w:t xml:space="preserve"> inter-cell </w:t>
                      </w:r>
                      <w:r>
                        <w:rPr>
                          <w:rFonts w:ascii="Times New Roman" w:eastAsia="Malgun Gothic" w:hAnsi="Times New Roman" w:cs="Times New Roman"/>
                          <w:color w:val="000000"/>
                          <w:szCs w:val="20"/>
                        </w:rPr>
                        <w:t xml:space="preserve">beam </w:t>
                      </w:r>
                      <w:r w:rsidRPr="00D90BF6">
                        <w:rPr>
                          <w:rFonts w:ascii="Times New Roman" w:eastAsia="Malgun Gothic" w:hAnsi="Times New Roman" w:cs="Times New Roman"/>
                          <w:strike/>
                          <w:color w:val="000000"/>
                          <w:szCs w:val="20"/>
                        </w:rPr>
                        <w:t>mobility</w:t>
                      </w:r>
                      <w:r>
                        <w:rPr>
                          <w:rFonts w:ascii="Times New Roman" w:eastAsia="Malgun Gothic" w:hAnsi="Times New Roman" w:cs="Times New Roman"/>
                          <w:szCs w:val="20"/>
                        </w:rPr>
                        <w:t xml:space="preserve"> </w:t>
                      </w:r>
                      <w:r w:rsidRPr="00D90BF6">
                        <w:rPr>
                          <w:rFonts w:ascii="Times New Roman" w:eastAsia="Malgun Gothic" w:hAnsi="Times New Roman" w:cs="Times New Roman"/>
                          <w:color w:val="FF0000"/>
                          <w:szCs w:val="20"/>
                        </w:rPr>
                        <w:t>beam management</w:t>
                      </w:r>
                      <w:r w:rsidRPr="007A4B66">
                        <w:rPr>
                          <w:rFonts w:ascii="Times New Roman" w:eastAsia="Malgun Gothic" w:hAnsi="Times New Roman" w:cs="Times New Roman"/>
                          <w:szCs w:val="20"/>
                        </w:rPr>
                        <w:t>, support the following:</w:t>
                      </w:r>
                    </w:p>
                    <w:p w14:paraId="3A83C5BB" w14:textId="77777777" w:rsidR="00E376B5" w:rsidRPr="007A4B66" w:rsidRDefault="00E376B5" w:rsidP="00C4412A">
                      <w:pPr>
                        <w:numPr>
                          <w:ilvl w:val="0"/>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Rel-17 MAC-CE-based and</w:t>
                      </w:r>
                      <w:r w:rsidRPr="00B61AB2">
                        <w:rPr>
                          <w:rFonts w:ascii="Times New Roman" w:eastAsia="SimSun" w:hAnsi="Times New Roman" w:cs="Times New Roman"/>
                          <w:szCs w:val="20"/>
                        </w:rPr>
                        <w:t>/or</w:t>
                      </w:r>
                      <w:r w:rsidRPr="007A4B66">
                        <w:rPr>
                          <w:rFonts w:ascii="Times New Roman" w:eastAsia="SimSun" w:hAnsi="Times New Roman" w:cs="Times New Roman"/>
                          <w:szCs w:val="20"/>
                        </w:rPr>
                        <w:t xml:space="preserve"> DCI-based beam indication (at least using DCI formats 1_1/1_2 with and without DL assignment including the associated MAC-CE-based TCI state activation) </w:t>
                      </w:r>
                    </w:p>
                    <w:p w14:paraId="6C457019" w14:textId="77777777" w:rsidR="00E376B5" w:rsidRPr="00D90BF6" w:rsidRDefault="00E376B5" w:rsidP="00C4412A">
                      <w:pPr>
                        <w:numPr>
                          <w:ilvl w:val="1"/>
                          <w:numId w:val="26"/>
                        </w:numPr>
                        <w:snapToGrid w:val="0"/>
                        <w:spacing w:after="0" w:line="240" w:lineRule="auto"/>
                        <w:jc w:val="both"/>
                        <w:rPr>
                          <w:rFonts w:ascii="Times New Roman" w:eastAsia="SimSun" w:hAnsi="Times New Roman" w:cs="Times New Roman"/>
                          <w:strike/>
                          <w:szCs w:val="20"/>
                        </w:rPr>
                      </w:pPr>
                      <w:r w:rsidRPr="00D90BF6">
                        <w:rPr>
                          <w:rFonts w:ascii="Times New Roman" w:eastAsia="SimSun" w:hAnsi="Times New Roman" w:cs="Times New Roman"/>
                          <w:strike/>
                          <w:szCs w:val="20"/>
                        </w:rPr>
                        <w:t xml:space="preserve">FFS (to be decided in RAN1#106-e): Whether this also applies to </w:t>
                      </w:r>
                      <w:r w:rsidRPr="00D90BF6">
                        <w:rPr>
                          <w:rFonts w:ascii="Times New Roman" w:eastAsia="Times New Roman" w:hAnsi="Times New Roman" w:cs="Times New Roman"/>
                          <w:strike/>
                          <w:szCs w:val="20"/>
                        </w:rPr>
                        <w:t>PDSCH/PUSCH associated with UE-dedicated CORESETs only or additional target channels (</w:t>
                      </w:r>
                      <w:proofErr w:type="gramStart"/>
                      <w:r w:rsidRPr="00D90BF6">
                        <w:rPr>
                          <w:rFonts w:ascii="Times New Roman" w:eastAsia="Times New Roman" w:hAnsi="Times New Roman" w:cs="Times New Roman"/>
                          <w:strike/>
                          <w:szCs w:val="20"/>
                        </w:rPr>
                        <w:t>e.g.</w:t>
                      </w:r>
                      <w:proofErr w:type="gramEnd"/>
                      <w:r w:rsidRPr="00D90BF6">
                        <w:rPr>
                          <w:rFonts w:ascii="Times New Roman" w:eastAsia="Times New Roman" w:hAnsi="Times New Roman" w:cs="Times New Roman"/>
                          <w:strike/>
                          <w:szCs w:val="20"/>
                        </w:rPr>
                        <w:t xml:space="preserve"> UE-dedicated PDCCH/PUCCH) </w:t>
                      </w:r>
                    </w:p>
                    <w:p w14:paraId="3EEA4EC4" w14:textId="77777777" w:rsidR="00E376B5" w:rsidRPr="007A4B66" w:rsidRDefault="00E376B5"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FFS: Whether the above is supported only for joint TCI, or both joint TCI and separate DL/UL TCI (including that, if separate DL/UL TCI is supported, the DL TCI and UL TCI associated with a same cell) </w:t>
                      </w:r>
                    </w:p>
                    <w:p w14:paraId="3DDC8D65" w14:textId="77777777" w:rsidR="00E376B5" w:rsidRPr="007A4B66" w:rsidRDefault="00E376B5"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FFS: Whether to support activation of TCI states for more than one cells simultaneously</w:t>
                      </w:r>
                    </w:p>
                    <w:p w14:paraId="51292D83" w14:textId="77777777" w:rsidR="00E376B5" w:rsidRPr="007A4B66" w:rsidRDefault="00E376B5"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FFS: Whether down-selection between MAC-CE only based and MAC-CE+DCI-based beam indication scheme is necessary</w:t>
                      </w:r>
                    </w:p>
                    <w:p w14:paraId="33C3E1EB" w14:textId="1313923D" w:rsidR="00E376B5" w:rsidRPr="00D90BF6" w:rsidRDefault="00E376B5" w:rsidP="00C4412A">
                      <w:pPr>
                        <w:numPr>
                          <w:ilvl w:val="0"/>
                          <w:numId w:val="26"/>
                        </w:numPr>
                        <w:snapToGrid w:val="0"/>
                        <w:spacing w:after="0" w:line="240" w:lineRule="auto"/>
                        <w:jc w:val="both"/>
                        <w:rPr>
                          <w:rFonts w:ascii="Times New Roman" w:eastAsia="SimSun" w:hAnsi="Times New Roman" w:cs="Times New Roman"/>
                          <w:szCs w:val="20"/>
                        </w:rPr>
                      </w:pPr>
                      <w:r w:rsidRPr="00D90BF6">
                        <w:rPr>
                          <w:rFonts w:ascii="Times New Roman" w:eastAsia="SimSun" w:hAnsi="Times New Roman" w:cs="Times New Roman"/>
                          <w:strike/>
                          <w:szCs w:val="20"/>
                        </w:rPr>
                        <w:t>The DL QCL and UL spatial relation rules</w:t>
                      </w:r>
                      <w:r w:rsidRPr="00D90BF6">
                        <w:rPr>
                          <w:rFonts w:ascii="Times New Roman" w:eastAsia="SimSun" w:hAnsi="Times New Roman" w:cs="Times New Roman"/>
                          <w:szCs w:val="20"/>
                        </w:rPr>
                        <w:t xml:space="preserve"> </w:t>
                      </w:r>
                      <w:proofErr w:type="gramStart"/>
                      <w:r w:rsidRPr="00D90BF6">
                        <w:rPr>
                          <w:rFonts w:ascii="Times New Roman" w:eastAsia="SimSun" w:hAnsi="Times New Roman" w:cs="Times New Roman"/>
                          <w:color w:val="FF0000"/>
                          <w:szCs w:val="20"/>
                        </w:rPr>
                        <w:t>The</w:t>
                      </w:r>
                      <w:proofErr w:type="gramEnd"/>
                      <w:r w:rsidRPr="00D90BF6">
                        <w:rPr>
                          <w:rFonts w:ascii="Times New Roman" w:eastAsia="SimSun" w:hAnsi="Times New Roman" w:cs="Times New Roman"/>
                          <w:color w:val="FF0000"/>
                          <w:szCs w:val="20"/>
                        </w:rPr>
                        <w:t xml:space="preserve"> rules for DL QCL and UL Tx spatial </w:t>
                      </w:r>
                      <w:r>
                        <w:rPr>
                          <w:rFonts w:ascii="Times New Roman" w:eastAsia="SimSun" w:hAnsi="Times New Roman" w:cs="Times New Roman"/>
                          <w:szCs w:val="20"/>
                        </w:rPr>
                        <w:t xml:space="preserve">filter </w:t>
                      </w:r>
                      <w:r w:rsidRPr="00D90BF6">
                        <w:rPr>
                          <w:rFonts w:ascii="Times New Roman" w:eastAsia="SimSun" w:hAnsi="Times New Roman" w:cs="Times New Roman"/>
                          <w:szCs w:val="20"/>
                        </w:rPr>
                        <w:t xml:space="preserve">already agreed for intra-cell scenario </w:t>
                      </w:r>
                    </w:p>
                    <w:p w14:paraId="7CBEBA5A" w14:textId="7DFB1D46" w:rsidR="00E376B5" w:rsidRPr="007A4B66" w:rsidRDefault="00E376B5" w:rsidP="00C4412A">
                      <w:pPr>
                        <w:numPr>
                          <w:ilvl w:val="0"/>
                          <w:numId w:val="26"/>
                        </w:numPr>
                        <w:snapToGrid w:val="0"/>
                        <w:spacing w:after="0" w:line="240" w:lineRule="auto"/>
                        <w:jc w:val="both"/>
                        <w:rPr>
                          <w:rFonts w:ascii="Times New Roman" w:eastAsia="SimSun" w:hAnsi="Times New Roman" w:cs="Times New Roman"/>
                          <w:szCs w:val="20"/>
                        </w:rPr>
                      </w:pPr>
                      <w:r w:rsidRPr="00D90BF6">
                        <w:rPr>
                          <w:rFonts w:ascii="Times New Roman" w:eastAsia="SimSun" w:hAnsi="Times New Roman" w:cs="Times New Roman"/>
                          <w:strike/>
                          <w:szCs w:val="20"/>
                        </w:rPr>
                        <w:t>FFS:</w:t>
                      </w:r>
                      <w:r w:rsidRPr="007A4B66">
                        <w:rPr>
                          <w:rFonts w:ascii="Times New Roman" w:eastAsia="SimSun" w:hAnsi="Times New Roman" w:cs="Times New Roman"/>
                          <w:szCs w:val="20"/>
                        </w:rPr>
                        <w:t xml:space="preserve"> The use of SSB associated with a physical cell ID different from that of the serving cell as an indirect QCL reference </w:t>
                      </w:r>
                      <w:r w:rsidRPr="00D90BF6">
                        <w:rPr>
                          <w:rFonts w:ascii="Times New Roman" w:eastAsia="SimSun" w:hAnsi="Times New Roman" w:cs="Times New Roman"/>
                          <w:strike/>
                          <w:szCs w:val="20"/>
                        </w:rPr>
                        <w:t>for UE-dedicated PDSCH</w:t>
                      </w:r>
                      <w:r w:rsidRPr="007A4B66">
                        <w:rPr>
                          <w:rFonts w:ascii="Times New Roman" w:eastAsia="SimSun" w:hAnsi="Times New Roman" w:cs="Times New Roman"/>
                          <w:szCs w:val="20"/>
                        </w:rPr>
                        <w:t xml:space="preserve"> </w:t>
                      </w:r>
                    </w:p>
                    <w:p w14:paraId="3C000190" w14:textId="77777777" w:rsidR="00E376B5" w:rsidRPr="00D90BF6" w:rsidRDefault="00E376B5" w:rsidP="00C4412A">
                      <w:pPr>
                        <w:numPr>
                          <w:ilvl w:val="1"/>
                          <w:numId w:val="26"/>
                        </w:numPr>
                        <w:snapToGrid w:val="0"/>
                        <w:spacing w:after="0" w:line="240" w:lineRule="auto"/>
                        <w:jc w:val="both"/>
                        <w:rPr>
                          <w:rFonts w:ascii="Times New Roman" w:eastAsia="SimSun" w:hAnsi="Times New Roman" w:cs="Times New Roman"/>
                          <w:strike/>
                          <w:szCs w:val="20"/>
                        </w:rPr>
                      </w:pPr>
                      <w:r w:rsidRPr="00D90BF6">
                        <w:rPr>
                          <w:rFonts w:ascii="Times New Roman" w:eastAsia="SimSun" w:hAnsi="Times New Roman" w:cs="Times New Roman"/>
                          <w:strike/>
                          <w:szCs w:val="20"/>
                        </w:rPr>
                        <w:t xml:space="preserve">FFS (to be decided in RAN1#106-e): Whether this also applies to UE-dedicated PDCCH </w:t>
                      </w:r>
                    </w:p>
                    <w:p w14:paraId="6748B652" w14:textId="77777777" w:rsidR="00E376B5" w:rsidRPr="00D90BF6" w:rsidRDefault="00E376B5" w:rsidP="00C4412A">
                      <w:pPr>
                        <w:numPr>
                          <w:ilvl w:val="1"/>
                          <w:numId w:val="26"/>
                        </w:numPr>
                        <w:snapToGrid w:val="0"/>
                        <w:spacing w:after="0" w:line="240" w:lineRule="auto"/>
                        <w:jc w:val="both"/>
                        <w:rPr>
                          <w:rFonts w:ascii="Times New Roman" w:eastAsia="SimSun" w:hAnsi="Times New Roman" w:cs="Times New Roman"/>
                          <w:szCs w:val="20"/>
                        </w:rPr>
                      </w:pPr>
                      <w:r w:rsidRPr="00D90BF6">
                        <w:rPr>
                          <w:rFonts w:ascii="Times New Roman" w:eastAsia="SimSun" w:hAnsi="Times New Roman" w:cs="Times New Roman"/>
                          <w:szCs w:val="20"/>
                        </w:rPr>
                        <w:t>Note: When RS X is an indirect QCL reference of a target channel, there exists at least one other source signal on the QCL chain between RS X and the target channel</w:t>
                      </w:r>
                    </w:p>
                    <w:p w14:paraId="6B874CCA" w14:textId="77777777" w:rsidR="00E376B5" w:rsidRPr="00D90BF6" w:rsidRDefault="00E376B5" w:rsidP="00C4412A">
                      <w:pPr>
                        <w:numPr>
                          <w:ilvl w:val="1"/>
                          <w:numId w:val="26"/>
                        </w:numPr>
                        <w:snapToGrid w:val="0"/>
                        <w:spacing w:after="0" w:line="240" w:lineRule="auto"/>
                        <w:jc w:val="both"/>
                        <w:rPr>
                          <w:rFonts w:ascii="Times New Roman" w:eastAsia="SimSun" w:hAnsi="Times New Roman" w:cs="Times New Roman"/>
                          <w:strike/>
                          <w:szCs w:val="20"/>
                        </w:rPr>
                      </w:pPr>
                      <w:r w:rsidRPr="00D90BF6">
                        <w:rPr>
                          <w:rFonts w:ascii="Times New Roman" w:eastAsia="SimSun" w:hAnsi="Times New Roman" w:cs="Times New Roman"/>
                          <w:strike/>
                          <w:szCs w:val="20"/>
                        </w:rPr>
                        <w:t>FFS (to be decided in RAN1#106-e): Whether SSB associated with a physical cell ID different from that of the serving cell can also be used as a direct QCL reference (source RS) for UE-dedicated PDCCH/PDSCH</w:t>
                      </w:r>
                    </w:p>
                  </w:txbxContent>
                </v:textbox>
                <w10:anchorlock/>
              </v:shape>
            </w:pict>
          </mc:Fallback>
        </mc:AlternateContent>
      </w:r>
    </w:p>
    <w:p w14:paraId="47D01D25" w14:textId="77777777" w:rsidR="00D5149A" w:rsidRPr="00D5149A" w:rsidRDefault="00D5149A" w:rsidP="00D5149A">
      <w:r w:rsidRPr="00D5149A">
        <w:t xml:space="preserve">Note that the TCI states and the reference signals that are used in the TCI states are all configured </w:t>
      </w:r>
      <w:r w:rsidRPr="00D5149A">
        <w:rPr>
          <w:i/>
          <w:iCs/>
        </w:rPr>
        <w:t>in</w:t>
      </w:r>
      <w:r w:rsidRPr="00D5149A">
        <w:t xml:space="preserve"> the serving cell. QCL relations that are applicable “for non-serving cells” can still be configured in the serving cell:</w:t>
      </w:r>
    </w:p>
    <w:p w14:paraId="15FAEFA2" w14:textId="77777777" w:rsidR="00D5149A" w:rsidRPr="00D5149A" w:rsidRDefault="00D5149A" w:rsidP="00D5149A">
      <w:pPr>
        <w:pStyle w:val="Observation"/>
      </w:pPr>
      <w:bookmarkStart w:id="28" w:name="_Toc79658916"/>
      <w:r w:rsidRPr="00D5149A">
        <w:t>TCI states that are applicable “for non-serving cells” can still be configured in the serving cell.</w:t>
      </w:r>
      <w:bookmarkEnd w:id="28"/>
    </w:p>
    <w:p w14:paraId="1801D46B" w14:textId="5A0AD4FA" w:rsidR="00D44591" w:rsidRDefault="00D44591" w:rsidP="00D5149A">
      <w:r>
        <w:t xml:space="preserve">With the proposed agreement, inter-cell beam indication is supported, but there are still some FFS to address. </w:t>
      </w:r>
    </w:p>
    <w:p w14:paraId="5CC4D0C3" w14:textId="0AE68062" w:rsidR="00041826" w:rsidRDefault="00041826" w:rsidP="00D5149A">
      <w:r>
        <w:t>Since we are trying to align intr</w:t>
      </w:r>
      <w:r w:rsidR="00257FBA">
        <w:t>a</w:t>
      </w:r>
      <w:r>
        <w:t>-cell beam management and inter-cell beam management, we propose not to restrict the behavior with respect to joint and separate DL/UL TCI: whatever is supported for intra-cell beam management is supported also for inter-cell beam management:</w:t>
      </w:r>
    </w:p>
    <w:p w14:paraId="37E75A21" w14:textId="77777777" w:rsidR="00041826" w:rsidRDefault="00041826" w:rsidP="00041826">
      <w:pPr>
        <w:pStyle w:val="Proposal"/>
      </w:pPr>
      <w:bookmarkStart w:id="29" w:name="_Toc79658938"/>
      <w:r>
        <w:t>Both joint TCI and separate DL/UL TCI is supported for inter-cell beam management.</w:t>
      </w:r>
      <w:bookmarkEnd w:id="29"/>
    </w:p>
    <w:p w14:paraId="0787073A" w14:textId="77777777" w:rsidR="001F2118" w:rsidRDefault="00041826" w:rsidP="00041826">
      <w:pPr>
        <w:pStyle w:val="BodyText"/>
      </w:pPr>
      <w:r>
        <w:t>The second FFS considers simultaneous activation of TCI states associated with multiple cells. The underlying consideration is that the QC</w:t>
      </w:r>
      <w:r w:rsidR="00C62AC8">
        <w:t>L</w:t>
      </w:r>
      <w:r>
        <w:t xml:space="preserve"> properties of RSs associated </w:t>
      </w:r>
      <w:r w:rsidR="00C62AC8">
        <w:t xml:space="preserve">with different cells may be quite different, also regarding QCL TypeB/C. </w:t>
      </w:r>
      <w:r w:rsidR="001F2118">
        <w:t xml:space="preserve">Since the UE is required to quickly switch between activated TCI states, the UE will have to maintain up-to-date estimates of the QCL properties for all the activated TCI states, which may lead to high UE complexity. To limit the UE complexity, we may, e.g., require that the QCl TypeB/C properties of all the RSs of all the activated TCI states are the same. Such requirements can be introduced as part of the UE feature discussion: </w:t>
      </w:r>
    </w:p>
    <w:p w14:paraId="6C9969C9" w14:textId="0D9F9B6A" w:rsidR="00041826" w:rsidRDefault="001F2118" w:rsidP="001F2118">
      <w:pPr>
        <w:pStyle w:val="Proposal"/>
      </w:pPr>
      <w:bookmarkStart w:id="30" w:name="_Toc79658939"/>
      <w:r>
        <w:t>Limitations on the properties of the activated TCI states can be introduced during the UE feature discussions.</w:t>
      </w:r>
      <w:bookmarkEnd w:id="30"/>
    </w:p>
    <w:p w14:paraId="672A16C9" w14:textId="74B777FD" w:rsidR="00B61AB2" w:rsidRDefault="001F2118" w:rsidP="001F2118">
      <w:pPr>
        <w:pStyle w:val="BodyText"/>
      </w:pPr>
      <w:r>
        <w:t xml:space="preserve">The third FFS discusses if there is a need to down-select between MAC-CE only based or MAC-CE+DCI based beam indication. In our understanding, there is no need to make any </w:t>
      </w:r>
      <w:r w:rsidR="00B61AB2">
        <w:t>selection</w:t>
      </w:r>
      <w:r>
        <w:t>: the</w:t>
      </w:r>
      <w:r w:rsidR="00B61AB2">
        <w:t xml:space="preserve"> inter-cell beam management should be aligned with the intra-cell beam management, and the signaling mechanisms from intra-cell beam management should be reused as far as possible:</w:t>
      </w:r>
    </w:p>
    <w:p w14:paraId="3F19F3BF" w14:textId="5AA5604D" w:rsidR="001F2118" w:rsidRDefault="00B61AB2" w:rsidP="00B61AB2">
      <w:pPr>
        <w:pStyle w:val="Proposal"/>
      </w:pPr>
      <w:bookmarkStart w:id="31" w:name="_Toc79658940"/>
      <w:r>
        <w:t xml:space="preserve">Do not down select between </w:t>
      </w:r>
      <w:r w:rsidRPr="00B61AB2">
        <w:t>MAC-CE only based and MAC-CE+DCI-based beam indication scheme</w:t>
      </w:r>
      <w:r>
        <w:t>.</w:t>
      </w:r>
      <w:bookmarkEnd w:id="31"/>
    </w:p>
    <w:p w14:paraId="170FABE3" w14:textId="77777777" w:rsidR="00D44591" w:rsidRDefault="00D44591" w:rsidP="00D5149A"/>
    <w:p w14:paraId="6F3C7AC2" w14:textId="13238694" w:rsidR="00291575" w:rsidRPr="00291575" w:rsidRDefault="00291575" w:rsidP="00291575">
      <w:pPr>
        <w:pStyle w:val="Heading3"/>
      </w:pPr>
      <w:r>
        <w:lastRenderedPageBreak/>
        <w:t>2.2.3</w:t>
      </w:r>
      <w:r>
        <w:tab/>
        <w:t>Beam measurements for non-serving cell</w:t>
      </w:r>
    </w:p>
    <w:p w14:paraId="5955FA76" w14:textId="5448283C" w:rsidR="002D3034" w:rsidRPr="00D5149A" w:rsidRDefault="002D3034" w:rsidP="002D3034">
      <w:r w:rsidRPr="00D5149A">
        <w:t>In RAN1#</w:t>
      </w:r>
      <w:r w:rsidR="00345B9D" w:rsidRPr="00D5149A">
        <w:t>104</w:t>
      </w:r>
      <w:r w:rsidR="00C5161D" w:rsidRPr="00D5149A">
        <w:t>bis</w:t>
      </w:r>
      <w:r w:rsidR="00345B9D" w:rsidRPr="00D5149A">
        <w:t>-e</w:t>
      </w:r>
      <w:r w:rsidR="00B61AB2">
        <w:t xml:space="preserve"> and RA1#105-e</w:t>
      </w:r>
      <w:r w:rsidRPr="00D5149A">
        <w:t>, the following agree</w:t>
      </w:r>
      <w:r w:rsidR="0012100A" w:rsidRPr="00D5149A">
        <w:t>ment</w:t>
      </w:r>
      <w:r w:rsidR="00B61AB2">
        <w:t>s</w:t>
      </w:r>
      <w:r w:rsidR="0012100A" w:rsidRPr="00D5149A">
        <w:t xml:space="preserve"> w</w:t>
      </w:r>
      <w:r w:rsidR="00B61AB2">
        <w:t>ere</w:t>
      </w:r>
      <w:r w:rsidR="0012100A" w:rsidRPr="00D5149A">
        <w:t xml:space="preserve"> reached on the reporting</w:t>
      </w:r>
      <w:r w:rsidR="00D5149A">
        <w:t xml:space="preserve"> content</w:t>
      </w:r>
      <w:r w:rsidRPr="00D5149A">
        <w:t>:</w:t>
      </w:r>
    </w:p>
    <w:p w14:paraId="51E4174D" w14:textId="1F502527" w:rsidR="002D3034" w:rsidRPr="00D5149A" w:rsidRDefault="002D3034" w:rsidP="000E0F2D">
      <w:pPr>
        <w:pStyle w:val="BodyText"/>
      </w:pPr>
      <w:r w:rsidRPr="00D5149A">
        <w:rPr>
          <w:noProof/>
        </w:rPr>
        <mc:AlternateContent>
          <mc:Choice Requires="wps">
            <w:drawing>
              <wp:inline distT="0" distB="0" distL="0" distR="0" wp14:anchorId="5B91993C" wp14:editId="7BB07F37">
                <wp:extent cx="6146359" cy="771276"/>
                <wp:effectExtent l="0" t="0" r="26035" b="24765"/>
                <wp:docPr id="42" name="Text Box 42"/>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6D679DE1" w14:textId="5E0593F6" w:rsidR="00E376B5" w:rsidRPr="00816B93" w:rsidRDefault="00E376B5" w:rsidP="00C5161D">
                            <w:pPr>
                              <w:wordWrap w:val="0"/>
                              <w:rPr>
                                <w:rFonts w:ascii="Times New Roman" w:hAnsi="Times New Roman" w:cs="Times New Roman"/>
                                <w:b/>
                                <w:bCs/>
                                <w:szCs w:val="20"/>
                              </w:rPr>
                            </w:pPr>
                            <w:r w:rsidRPr="00816B93">
                              <w:rPr>
                                <w:rFonts w:ascii="Times New Roman" w:hAnsi="Times New Roman" w:cs="Times New Roman"/>
                                <w:b/>
                                <w:bCs/>
                                <w:szCs w:val="20"/>
                                <w:highlight w:val="green"/>
                              </w:rPr>
                              <w:t>Agreement</w:t>
                            </w:r>
                            <w:r>
                              <w:rPr>
                                <w:rFonts w:ascii="Times New Roman" w:hAnsi="Times New Roman" w:cs="Times New Roman"/>
                                <w:b/>
                                <w:bCs/>
                                <w:szCs w:val="20"/>
                              </w:rPr>
                              <w:t xml:space="preserve"> (RAN1#104bis-e)</w:t>
                            </w:r>
                          </w:p>
                          <w:p w14:paraId="3B20A8F7" w14:textId="77777777" w:rsidR="00E376B5" w:rsidRPr="00816B93" w:rsidRDefault="00E376B5" w:rsidP="00C5161D">
                            <w:pPr>
                              <w:snapToGrid w:val="0"/>
                              <w:jc w:val="both"/>
                              <w:rPr>
                                <w:rFonts w:ascii="Times New Roman" w:hAnsi="Times New Roman" w:cs="Times New Roman"/>
                                <w:szCs w:val="20"/>
                              </w:rPr>
                            </w:pPr>
                            <w:r w:rsidRPr="00816B93">
                              <w:rPr>
                                <w:rFonts w:ascii="Times New Roman" w:hAnsi="Times New Roman" w:cs="Times New Roman"/>
                                <w:szCs w:val="20"/>
                              </w:rPr>
                              <w:t xml:space="preserve">On Rel.17 multi-beam measurement/reporting enhancements for L1/L2-centric inter-cell mobility and inter-cell mTRP, </w:t>
                            </w:r>
                          </w:p>
                          <w:p w14:paraId="6EFED8AE" w14:textId="77777777" w:rsidR="00E376B5" w:rsidRPr="00816B93" w:rsidRDefault="00E376B5" w:rsidP="00C4412A">
                            <w:pPr>
                              <w:pStyle w:val="ListParagraph"/>
                              <w:numPr>
                                <w:ilvl w:val="0"/>
                                <w:numId w:val="3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 xml:space="preserve">On the value of K (defined in RAN1#104-e as the number of beam qualities associated at least with non-serving cell(s) can be reported in a single CSI reporting instance), </w:t>
                            </w:r>
                          </w:p>
                          <w:p w14:paraId="41CB79F5" w14:textId="77777777" w:rsidR="00E376B5" w:rsidRPr="00816B93" w:rsidRDefault="00E376B5" w:rsidP="00C4412A">
                            <w:pPr>
                              <w:pStyle w:val="ListParagraph"/>
                              <w:numPr>
                                <w:ilvl w:val="1"/>
                                <w:numId w:val="3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For the supported maximum value(s) of K, down-select at least one from the following candidates {4, 8, 16}</w:t>
                            </w:r>
                          </w:p>
                          <w:p w14:paraId="36127177" w14:textId="77777777" w:rsidR="00E376B5" w:rsidRPr="00816B93" w:rsidRDefault="00E376B5" w:rsidP="00C4412A">
                            <w:pPr>
                              <w:pStyle w:val="ListParagraph"/>
                              <w:numPr>
                                <w:ilvl w:val="1"/>
                                <w:numId w:val="3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FFS: whether the maximum value of K is a UE capability</w:t>
                            </w:r>
                          </w:p>
                          <w:p w14:paraId="7C97A450" w14:textId="77777777" w:rsidR="00E376B5" w:rsidRPr="00816B93" w:rsidRDefault="00E376B5" w:rsidP="00C4412A">
                            <w:pPr>
                              <w:pStyle w:val="ListParagraph"/>
                              <w:numPr>
                                <w:ilvl w:val="0"/>
                                <w:numId w:val="3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Periodic, semi-persistent, and aperiodic reporting (and the respective measurements) are supported.</w:t>
                            </w:r>
                          </w:p>
                          <w:p w14:paraId="7A7A44A1" w14:textId="5326F97C" w:rsidR="00E376B5" w:rsidRDefault="00E376B5" w:rsidP="00C4412A">
                            <w:pPr>
                              <w:pStyle w:val="ListParagraph"/>
                              <w:numPr>
                                <w:ilvl w:val="1"/>
                                <w:numId w:val="3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Note: Semi-persistent and aperiodic reporting (and their respective measurements) are NW-initiated</w:t>
                            </w:r>
                          </w:p>
                          <w:p w14:paraId="193DFE43" w14:textId="6310A9E0" w:rsidR="00E376B5" w:rsidRDefault="00E376B5" w:rsidP="00B61AB2">
                            <w:pPr>
                              <w:snapToGrid w:val="0"/>
                              <w:spacing w:line="240" w:lineRule="auto"/>
                              <w:jc w:val="both"/>
                              <w:rPr>
                                <w:rFonts w:ascii="Times New Roman" w:hAnsi="Times New Roman" w:cs="Times New Roman"/>
                                <w:szCs w:val="20"/>
                              </w:rPr>
                            </w:pPr>
                          </w:p>
                          <w:p w14:paraId="0BECB14D" w14:textId="5CEB29C9" w:rsidR="00E376B5" w:rsidRPr="007A4B66" w:rsidRDefault="00E376B5" w:rsidP="00B61AB2">
                            <w:pPr>
                              <w:snapToGrid w:val="0"/>
                              <w:rPr>
                                <w:rFonts w:ascii="Times New Roman" w:hAnsi="Times New Roman" w:cs="Times New Roman"/>
                                <w:szCs w:val="20"/>
                              </w:rPr>
                            </w:pPr>
                            <w:r w:rsidRPr="007A4B66">
                              <w:rPr>
                                <w:rFonts w:ascii="Times New Roman" w:hAnsi="Times New Roman" w:cs="Times New Roman"/>
                                <w:b/>
                                <w:bCs/>
                                <w:szCs w:val="20"/>
                                <w:highlight w:val="green"/>
                              </w:rPr>
                              <w:t>Agreement</w:t>
                            </w:r>
                            <w:r>
                              <w:rPr>
                                <w:rFonts w:ascii="Times New Roman" w:hAnsi="Times New Roman" w:cs="Times New Roman"/>
                                <w:b/>
                                <w:bCs/>
                                <w:szCs w:val="20"/>
                              </w:rPr>
                              <w:t xml:space="preserve"> (RAN1#105-e)</w:t>
                            </w:r>
                          </w:p>
                          <w:p w14:paraId="125A8CED" w14:textId="77777777" w:rsidR="00E376B5" w:rsidRPr="007A4B66" w:rsidRDefault="00E376B5" w:rsidP="00B61AB2">
                            <w:pPr>
                              <w:snapToGrid w:val="0"/>
                              <w:jc w:val="both"/>
                              <w:rPr>
                                <w:rFonts w:ascii="Times New Roman" w:hAnsi="Times New Roman" w:cs="Times New Roman"/>
                                <w:szCs w:val="20"/>
                              </w:rPr>
                            </w:pPr>
                            <w:r w:rsidRPr="007A4B66">
                              <w:rPr>
                                <w:rFonts w:ascii="Times New Roman" w:hAnsi="Times New Roman" w:cs="Times New Roman"/>
                                <w:szCs w:val="20"/>
                              </w:rPr>
                              <w:t xml:space="preserve">On Rel.17 L1-RSRP multi-beam measurement/reporting enhancements </w:t>
                            </w:r>
                            <w:r w:rsidRPr="007A4B66">
                              <w:rPr>
                                <w:rFonts w:ascii="Times New Roman" w:hAnsi="Times New Roman" w:cs="Times New Roman"/>
                                <w:color w:val="000000"/>
                                <w:szCs w:val="20"/>
                              </w:rPr>
                              <w:t>for L1/L2-centric inter-cell mobility and inter-cell mTRP</w:t>
                            </w:r>
                            <w:r w:rsidRPr="007A4B66">
                              <w:rPr>
                                <w:rFonts w:ascii="Times New Roman" w:hAnsi="Times New Roman" w:cs="Times New Roman"/>
                                <w:szCs w:val="20"/>
                              </w:rPr>
                              <w:t>,</w:t>
                            </w:r>
                          </w:p>
                          <w:p w14:paraId="36DD0B2F" w14:textId="77777777" w:rsidR="00E376B5" w:rsidRPr="007A4B66" w:rsidRDefault="00E376B5" w:rsidP="00C4412A">
                            <w:pPr>
                              <w:pStyle w:val="ListParagraph"/>
                              <w:numPr>
                                <w:ilvl w:val="0"/>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Support at least K=4, where K is defined as the number of beams associated at least with non-serving cell(s) reported in a single CSI reporting instance</w:t>
                            </w:r>
                          </w:p>
                          <w:p w14:paraId="5902CE8F" w14:textId="77777777" w:rsidR="00E376B5" w:rsidRPr="007A4B66" w:rsidRDefault="00E376B5" w:rsidP="00C4412A">
                            <w:pPr>
                              <w:pStyle w:val="ListParagraph"/>
                              <w:numPr>
                                <w:ilvl w:val="1"/>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The maximum value of supported K is a UE capability</w:t>
                            </w:r>
                          </w:p>
                          <w:p w14:paraId="5BBB1E89" w14:textId="77777777" w:rsidR="00E376B5" w:rsidRPr="007A4B66" w:rsidRDefault="00E376B5" w:rsidP="00C4412A">
                            <w:pPr>
                              <w:pStyle w:val="ListParagraph"/>
                              <w:numPr>
                                <w:ilvl w:val="1"/>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K is configured by NW based on the UE capability </w:t>
                            </w:r>
                          </w:p>
                          <w:p w14:paraId="348F5EC3" w14:textId="77777777" w:rsidR="00E376B5" w:rsidRPr="007A4B66" w:rsidRDefault="00E376B5" w:rsidP="00C4412A">
                            <w:pPr>
                              <w:pStyle w:val="ListParagraph"/>
                              <w:numPr>
                                <w:ilvl w:val="1"/>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FFS: The support of K=8 and 16</w:t>
                            </w:r>
                          </w:p>
                          <w:p w14:paraId="7B333561" w14:textId="77777777" w:rsidR="00E376B5" w:rsidRPr="007A4B66" w:rsidRDefault="00E376B5" w:rsidP="00C4412A">
                            <w:pPr>
                              <w:pStyle w:val="ListParagraph"/>
                              <w:numPr>
                                <w:ilvl w:val="2"/>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For K&gt;4, the maximum number of beams associated with one cell is 4</w:t>
                            </w:r>
                          </w:p>
                          <w:p w14:paraId="7693C292" w14:textId="77777777" w:rsidR="00E376B5" w:rsidRPr="007A4B66" w:rsidRDefault="00E376B5" w:rsidP="00C4412A">
                            <w:pPr>
                              <w:pStyle w:val="ListParagraph"/>
                              <w:numPr>
                                <w:ilvl w:val="0"/>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FFS: Support L1-based event-driven reporting based on Rel-16 SCell BFR framework or analogous to L3-based event-driven reporting, including the definition of L1-based event, if needed</w:t>
                            </w:r>
                          </w:p>
                          <w:p w14:paraId="1D9C5074" w14:textId="77777777" w:rsidR="00E376B5" w:rsidRPr="00716FD4" w:rsidRDefault="00E376B5" w:rsidP="00B61AB2">
                            <w:pPr>
                              <w:snapToGrid w:val="0"/>
                              <w:jc w:val="both"/>
                              <w:rPr>
                                <w:rFonts w:ascii="Times New Roman" w:hAnsi="Times New Roman" w:cs="Times New Roman"/>
                                <w:szCs w:val="20"/>
                              </w:rPr>
                            </w:pPr>
                            <w:r w:rsidRPr="007A4B66">
                              <w:rPr>
                                <w:rFonts w:ascii="Times New Roman" w:hAnsi="Times New Roman" w:cs="Times New Roman"/>
                                <w:szCs w:val="20"/>
                              </w:rPr>
                              <w:t>Note: If another beam metric other than L1-RSRP is supported (e.g. L3-RSRP is still FFS), the above also applies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B91993C" id="Text Box 42" o:spid="_x0000_s1039"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DxIF+XUQIAAKsEAAAOAAAAAAAAAAAAAAAAAC4CAABkcnMvZTJvRG9jLnhtbFBLAQItABQABgAI&#10;AAAAIQAiBMLm3AAAAAUBAAAPAAAAAAAAAAAAAAAAAKsEAABkcnMvZG93bnJldi54bWxQSwUGAAAA&#10;AAQABADzAAAAtAUAAAAA&#10;" fillcolor="white [3201]" strokeweight=".5pt">
                <v:textbox style="mso-fit-shape-to-text:t">
                  <w:txbxContent>
                    <w:p w14:paraId="6D679DE1" w14:textId="5E0593F6" w:rsidR="00E376B5" w:rsidRPr="00816B93" w:rsidRDefault="00E376B5" w:rsidP="00C5161D">
                      <w:pPr>
                        <w:wordWrap w:val="0"/>
                        <w:rPr>
                          <w:rFonts w:ascii="Times New Roman" w:hAnsi="Times New Roman" w:cs="Times New Roman"/>
                          <w:b/>
                          <w:bCs/>
                          <w:szCs w:val="20"/>
                        </w:rPr>
                      </w:pPr>
                      <w:r w:rsidRPr="00816B93">
                        <w:rPr>
                          <w:rFonts w:ascii="Times New Roman" w:hAnsi="Times New Roman" w:cs="Times New Roman"/>
                          <w:b/>
                          <w:bCs/>
                          <w:szCs w:val="20"/>
                          <w:highlight w:val="green"/>
                        </w:rPr>
                        <w:t>Agreement</w:t>
                      </w:r>
                      <w:r>
                        <w:rPr>
                          <w:rFonts w:ascii="Times New Roman" w:hAnsi="Times New Roman" w:cs="Times New Roman"/>
                          <w:b/>
                          <w:bCs/>
                          <w:szCs w:val="20"/>
                        </w:rPr>
                        <w:t xml:space="preserve"> (RAN1#104bis-e)</w:t>
                      </w:r>
                    </w:p>
                    <w:p w14:paraId="3B20A8F7" w14:textId="77777777" w:rsidR="00E376B5" w:rsidRPr="00816B93" w:rsidRDefault="00E376B5" w:rsidP="00C5161D">
                      <w:pPr>
                        <w:snapToGrid w:val="0"/>
                        <w:jc w:val="both"/>
                        <w:rPr>
                          <w:rFonts w:ascii="Times New Roman" w:hAnsi="Times New Roman" w:cs="Times New Roman"/>
                          <w:szCs w:val="20"/>
                        </w:rPr>
                      </w:pPr>
                      <w:r w:rsidRPr="00816B93">
                        <w:rPr>
                          <w:rFonts w:ascii="Times New Roman" w:hAnsi="Times New Roman" w:cs="Times New Roman"/>
                          <w:szCs w:val="20"/>
                        </w:rPr>
                        <w:t xml:space="preserve">On Rel.17 multi-beam measurement/reporting enhancements for L1/L2-centric inter-cell mobility and inter-cell mTRP, </w:t>
                      </w:r>
                    </w:p>
                    <w:p w14:paraId="6EFED8AE" w14:textId="77777777" w:rsidR="00E376B5" w:rsidRPr="00816B93" w:rsidRDefault="00E376B5" w:rsidP="00C4412A">
                      <w:pPr>
                        <w:pStyle w:val="ListParagraph"/>
                        <w:numPr>
                          <w:ilvl w:val="0"/>
                          <w:numId w:val="3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 xml:space="preserve">On the value of K (defined in RAN1#104-e as the number of beam qualities associated at least with non-serving cell(s) can be reported in a single CSI reporting instance), </w:t>
                      </w:r>
                    </w:p>
                    <w:p w14:paraId="41CB79F5" w14:textId="77777777" w:rsidR="00E376B5" w:rsidRPr="00816B93" w:rsidRDefault="00E376B5" w:rsidP="00C4412A">
                      <w:pPr>
                        <w:pStyle w:val="ListParagraph"/>
                        <w:numPr>
                          <w:ilvl w:val="1"/>
                          <w:numId w:val="3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For the supported maximum value(s) of K, down-select at least one from the following candidates {4, 8, 16}</w:t>
                      </w:r>
                    </w:p>
                    <w:p w14:paraId="36127177" w14:textId="77777777" w:rsidR="00E376B5" w:rsidRPr="00816B93" w:rsidRDefault="00E376B5" w:rsidP="00C4412A">
                      <w:pPr>
                        <w:pStyle w:val="ListParagraph"/>
                        <w:numPr>
                          <w:ilvl w:val="1"/>
                          <w:numId w:val="3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FFS: whether the maximum value of K is a UE capability</w:t>
                      </w:r>
                    </w:p>
                    <w:p w14:paraId="7C97A450" w14:textId="77777777" w:rsidR="00E376B5" w:rsidRPr="00816B93" w:rsidRDefault="00E376B5" w:rsidP="00C4412A">
                      <w:pPr>
                        <w:pStyle w:val="ListParagraph"/>
                        <w:numPr>
                          <w:ilvl w:val="0"/>
                          <w:numId w:val="3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Periodic, semi-persistent, and aperiodic reporting (and the respective measurements) are supported.</w:t>
                      </w:r>
                    </w:p>
                    <w:p w14:paraId="7A7A44A1" w14:textId="5326F97C" w:rsidR="00E376B5" w:rsidRDefault="00E376B5" w:rsidP="00C4412A">
                      <w:pPr>
                        <w:pStyle w:val="ListParagraph"/>
                        <w:numPr>
                          <w:ilvl w:val="1"/>
                          <w:numId w:val="3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Note: Semi-persistent and aperiodic reporting (and their respective measurements) are NW-initiated</w:t>
                      </w:r>
                    </w:p>
                    <w:p w14:paraId="193DFE43" w14:textId="6310A9E0" w:rsidR="00E376B5" w:rsidRDefault="00E376B5" w:rsidP="00B61AB2">
                      <w:pPr>
                        <w:snapToGrid w:val="0"/>
                        <w:spacing w:line="240" w:lineRule="auto"/>
                        <w:jc w:val="both"/>
                        <w:rPr>
                          <w:rFonts w:ascii="Times New Roman" w:hAnsi="Times New Roman" w:cs="Times New Roman"/>
                          <w:szCs w:val="20"/>
                        </w:rPr>
                      </w:pPr>
                    </w:p>
                    <w:p w14:paraId="0BECB14D" w14:textId="5CEB29C9" w:rsidR="00E376B5" w:rsidRPr="007A4B66" w:rsidRDefault="00E376B5" w:rsidP="00B61AB2">
                      <w:pPr>
                        <w:snapToGrid w:val="0"/>
                        <w:rPr>
                          <w:rFonts w:ascii="Times New Roman" w:hAnsi="Times New Roman" w:cs="Times New Roman"/>
                          <w:szCs w:val="20"/>
                        </w:rPr>
                      </w:pPr>
                      <w:r w:rsidRPr="007A4B66">
                        <w:rPr>
                          <w:rFonts w:ascii="Times New Roman" w:hAnsi="Times New Roman" w:cs="Times New Roman"/>
                          <w:b/>
                          <w:bCs/>
                          <w:szCs w:val="20"/>
                          <w:highlight w:val="green"/>
                        </w:rPr>
                        <w:t>Agreement</w:t>
                      </w:r>
                      <w:r>
                        <w:rPr>
                          <w:rFonts w:ascii="Times New Roman" w:hAnsi="Times New Roman" w:cs="Times New Roman"/>
                          <w:b/>
                          <w:bCs/>
                          <w:szCs w:val="20"/>
                        </w:rPr>
                        <w:t xml:space="preserve"> (RAN1#105-e)</w:t>
                      </w:r>
                    </w:p>
                    <w:p w14:paraId="125A8CED" w14:textId="77777777" w:rsidR="00E376B5" w:rsidRPr="007A4B66" w:rsidRDefault="00E376B5" w:rsidP="00B61AB2">
                      <w:pPr>
                        <w:snapToGrid w:val="0"/>
                        <w:jc w:val="both"/>
                        <w:rPr>
                          <w:rFonts w:ascii="Times New Roman" w:hAnsi="Times New Roman" w:cs="Times New Roman"/>
                          <w:szCs w:val="20"/>
                        </w:rPr>
                      </w:pPr>
                      <w:r w:rsidRPr="007A4B66">
                        <w:rPr>
                          <w:rFonts w:ascii="Times New Roman" w:hAnsi="Times New Roman" w:cs="Times New Roman"/>
                          <w:szCs w:val="20"/>
                        </w:rPr>
                        <w:t xml:space="preserve">On Rel.17 L1-RSRP multi-beam measurement/reporting enhancements </w:t>
                      </w:r>
                      <w:r w:rsidRPr="007A4B66">
                        <w:rPr>
                          <w:rFonts w:ascii="Times New Roman" w:hAnsi="Times New Roman" w:cs="Times New Roman"/>
                          <w:color w:val="000000"/>
                          <w:szCs w:val="20"/>
                        </w:rPr>
                        <w:t>for L1/L2-centric inter-cell mobility and inter-cell mTRP</w:t>
                      </w:r>
                      <w:r w:rsidRPr="007A4B66">
                        <w:rPr>
                          <w:rFonts w:ascii="Times New Roman" w:hAnsi="Times New Roman" w:cs="Times New Roman"/>
                          <w:szCs w:val="20"/>
                        </w:rPr>
                        <w:t>,</w:t>
                      </w:r>
                    </w:p>
                    <w:p w14:paraId="36DD0B2F" w14:textId="77777777" w:rsidR="00E376B5" w:rsidRPr="007A4B66" w:rsidRDefault="00E376B5" w:rsidP="00C4412A">
                      <w:pPr>
                        <w:pStyle w:val="ListParagraph"/>
                        <w:numPr>
                          <w:ilvl w:val="0"/>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Support at least K=4, where K is defined as the number of beams associated at least with non-serving cell(s) reported in a single CSI reporting instance</w:t>
                      </w:r>
                    </w:p>
                    <w:p w14:paraId="5902CE8F" w14:textId="77777777" w:rsidR="00E376B5" w:rsidRPr="007A4B66" w:rsidRDefault="00E376B5" w:rsidP="00C4412A">
                      <w:pPr>
                        <w:pStyle w:val="ListParagraph"/>
                        <w:numPr>
                          <w:ilvl w:val="1"/>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The maximum value of supported K is a UE capability</w:t>
                      </w:r>
                    </w:p>
                    <w:p w14:paraId="5BBB1E89" w14:textId="77777777" w:rsidR="00E376B5" w:rsidRPr="007A4B66" w:rsidRDefault="00E376B5" w:rsidP="00C4412A">
                      <w:pPr>
                        <w:pStyle w:val="ListParagraph"/>
                        <w:numPr>
                          <w:ilvl w:val="1"/>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K is configured by NW based on the UE capability </w:t>
                      </w:r>
                    </w:p>
                    <w:p w14:paraId="348F5EC3" w14:textId="77777777" w:rsidR="00E376B5" w:rsidRPr="007A4B66" w:rsidRDefault="00E376B5" w:rsidP="00C4412A">
                      <w:pPr>
                        <w:pStyle w:val="ListParagraph"/>
                        <w:numPr>
                          <w:ilvl w:val="1"/>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FFS: The support of K=8 and 16</w:t>
                      </w:r>
                    </w:p>
                    <w:p w14:paraId="7B333561" w14:textId="77777777" w:rsidR="00E376B5" w:rsidRPr="007A4B66" w:rsidRDefault="00E376B5" w:rsidP="00C4412A">
                      <w:pPr>
                        <w:pStyle w:val="ListParagraph"/>
                        <w:numPr>
                          <w:ilvl w:val="2"/>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For K&gt;4, the maximum number of beams associated with one cell is 4</w:t>
                      </w:r>
                    </w:p>
                    <w:p w14:paraId="7693C292" w14:textId="77777777" w:rsidR="00E376B5" w:rsidRPr="007A4B66" w:rsidRDefault="00E376B5" w:rsidP="00C4412A">
                      <w:pPr>
                        <w:pStyle w:val="ListParagraph"/>
                        <w:numPr>
                          <w:ilvl w:val="0"/>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FFS: Support L1-based event-driven reporting based on Rel-16 SCell BFR framework or analogous to L3-based event-driven reporting, including the definition of L1-based event, if needed</w:t>
                      </w:r>
                    </w:p>
                    <w:p w14:paraId="1D9C5074" w14:textId="77777777" w:rsidR="00E376B5" w:rsidRPr="00716FD4" w:rsidRDefault="00E376B5" w:rsidP="00B61AB2">
                      <w:pPr>
                        <w:snapToGrid w:val="0"/>
                        <w:jc w:val="both"/>
                        <w:rPr>
                          <w:rFonts w:ascii="Times New Roman" w:hAnsi="Times New Roman" w:cs="Times New Roman"/>
                          <w:szCs w:val="20"/>
                        </w:rPr>
                      </w:pPr>
                      <w:r w:rsidRPr="007A4B66">
                        <w:rPr>
                          <w:rFonts w:ascii="Times New Roman" w:hAnsi="Times New Roman" w:cs="Times New Roman"/>
                          <w:szCs w:val="20"/>
                        </w:rPr>
                        <w:t>Note: If another beam metric other than L1-RSRP is supported (</w:t>
                      </w:r>
                      <w:proofErr w:type="gramStart"/>
                      <w:r w:rsidRPr="007A4B66">
                        <w:rPr>
                          <w:rFonts w:ascii="Times New Roman" w:hAnsi="Times New Roman" w:cs="Times New Roman"/>
                          <w:szCs w:val="20"/>
                        </w:rPr>
                        <w:t>e.g.</w:t>
                      </w:r>
                      <w:proofErr w:type="gramEnd"/>
                      <w:r w:rsidRPr="007A4B66">
                        <w:rPr>
                          <w:rFonts w:ascii="Times New Roman" w:hAnsi="Times New Roman" w:cs="Times New Roman"/>
                          <w:szCs w:val="20"/>
                        </w:rPr>
                        <w:t xml:space="preserve"> L3-RSRP is still FFS), the above also applies</w:t>
                      </w:r>
                    </w:p>
                  </w:txbxContent>
                </v:textbox>
                <w10:anchorlock/>
              </v:shape>
            </w:pict>
          </mc:Fallback>
        </mc:AlternateContent>
      </w:r>
    </w:p>
    <w:p w14:paraId="0B75E527" w14:textId="5233534D" w:rsidR="00F92F3E" w:rsidRPr="00C5161D" w:rsidRDefault="002D3034" w:rsidP="00F10E7D">
      <w:pPr>
        <w:pStyle w:val="BodyText"/>
        <w:rPr>
          <w:lang w:val="en-GB"/>
        </w:rPr>
      </w:pPr>
      <w:r w:rsidRPr="00C5161D">
        <w:rPr>
          <w:lang w:val="en-GB"/>
        </w:rPr>
        <w:t>Th</w:t>
      </w:r>
      <w:r w:rsidR="00464755">
        <w:rPr>
          <w:lang w:val="en-GB"/>
        </w:rPr>
        <w:t>ese</w:t>
      </w:r>
      <w:r w:rsidRPr="00C5161D">
        <w:rPr>
          <w:lang w:val="en-GB"/>
        </w:rPr>
        <w:t xml:space="preserve"> agreement</w:t>
      </w:r>
      <w:r w:rsidR="00464755">
        <w:rPr>
          <w:lang w:val="en-GB"/>
        </w:rPr>
        <w:t>s</w:t>
      </w:r>
      <w:r w:rsidRPr="00C5161D">
        <w:rPr>
          <w:lang w:val="en-GB"/>
        </w:rPr>
        <w:t xml:space="preserve"> states that we support beam reporting on non-serving cells.</w:t>
      </w:r>
      <w:r w:rsidR="00CF7231" w:rsidRPr="00C5161D">
        <w:rPr>
          <w:lang w:val="en-GB"/>
        </w:rPr>
        <w:t xml:space="preserve"> We propose to use the intra-cell beam reporting as a </w:t>
      </w:r>
      <w:r w:rsidR="00F84165" w:rsidRPr="00C5161D">
        <w:rPr>
          <w:lang w:val="en-GB"/>
        </w:rPr>
        <w:t>blueprint</w:t>
      </w:r>
      <w:r w:rsidR="00CF7231" w:rsidRPr="00C5161D">
        <w:rPr>
          <w:lang w:val="en-GB"/>
        </w:rPr>
        <w:t xml:space="preserve"> when designing the inter-cell beam reporting.</w:t>
      </w:r>
      <w:r w:rsidR="00F92F3E" w:rsidRPr="00C5161D">
        <w:rPr>
          <w:lang w:val="en-GB"/>
        </w:rPr>
        <w:t xml:space="preserve"> </w:t>
      </w:r>
    </w:p>
    <w:p w14:paraId="09DE9943" w14:textId="1207401F" w:rsidR="00F84165" w:rsidRPr="00C5161D" w:rsidRDefault="00F92F3E" w:rsidP="000E0F2D">
      <w:pPr>
        <w:pStyle w:val="BodyText"/>
        <w:rPr>
          <w:lang w:val="en-GB"/>
        </w:rPr>
      </w:pPr>
      <w:r w:rsidRPr="00C5161D">
        <w:rPr>
          <w:lang w:val="en-GB"/>
        </w:rPr>
        <w:t xml:space="preserve">The maximum number of beams to report in the Rel-15 beam reports is 4. </w:t>
      </w:r>
      <w:r w:rsidR="00F84165" w:rsidRPr="00C5161D">
        <w:rPr>
          <w:lang w:val="en-GB"/>
        </w:rPr>
        <w:t xml:space="preserve">Since the NW may benefit </w:t>
      </w:r>
      <w:r w:rsidRPr="00C5161D">
        <w:rPr>
          <w:lang w:val="en-GB"/>
        </w:rPr>
        <w:t xml:space="preserve">from </w:t>
      </w:r>
      <w:r w:rsidR="00F84165" w:rsidRPr="00C5161D">
        <w:rPr>
          <w:lang w:val="en-GB"/>
        </w:rPr>
        <w:t>more information, it may be beneficial to include more than 4 beams in the report</w:t>
      </w:r>
      <w:r w:rsidRPr="00C5161D">
        <w:rPr>
          <w:lang w:val="en-GB"/>
        </w:rPr>
        <w:t xml:space="preserve"> for the Rel-17 report</w:t>
      </w:r>
      <w:r w:rsidR="00F84165" w:rsidRPr="00C5161D">
        <w:rPr>
          <w:lang w:val="en-GB"/>
        </w:rPr>
        <w:t>. Hence</w:t>
      </w:r>
      <w:r w:rsidR="0050413C" w:rsidRPr="00C5161D">
        <w:rPr>
          <w:lang w:val="en-GB"/>
        </w:rPr>
        <w:t>,</w:t>
      </w:r>
      <w:r w:rsidR="00F84165" w:rsidRPr="00C5161D">
        <w:rPr>
          <w:lang w:val="en-GB"/>
        </w:rPr>
        <w:t xml:space="preserve"> we propose</w:t>
      </w:r>
    </w:p>
    <w:p w14:paraId="1251C173" w14:textId="38449C6D" w:rsidR="00F84165" w:rsidRPr="00C5161D" w:rsidRDefault="00F84165" w:rsidP="000E0F2D">
      <w:pPr>
        <w:pStyle w:val="Proposal"/>
        <w:rPr>
          <w:lang w:val="en-GB"/>
        </w:rPr>
      </w:pPr>
      <w:bookmarkStart w:id="32" w:name="_Toc79658941"/>
      <w:r w:rsidRPr="00C5161D">
        <w:rPr>
          <w:lang w:val="en-GB"/>
        </w:rPr>
        <w:t>Up to 8 beams can be reported in a single CSI reporting instance.</w:t>
      </w:r>
      <w:bookmarkEnd w:id="32"/>
    </w:p>
    <w:p w14:paraId="3D8B3C62" w14:textId="425A839B" w:rsidR="002D3034" w:rsidRPr="00C5161D" w:rsidRDefault="00AB2293" w:rsidP="000E0F2D">
      <w:pPr>
        <w:pStyle w:val="BodyText"/>
        <w:rPr>
          <w:lang w:val="en-GB"/>
        </w:rPr>
      </w:pPr>
      <w:r w:rsidRPr="00C5161D">
        <w:rPr>
          <w:lang w:val="en-GB"/>
        </w:rPr>
        <w:t>This can be capped by UE capability.</w:t>
      </w:r>
    </w:p>
    <w:p w14:paraId="0174DA99" w14:textId="69271F62" w:rsidR="00291575" w:rsidRDefault="00464755" w:rsidP="00291575">
      <w:pPr>
        <w:pStyle w:val="BodyText"/>
        <w:rPr>
          <w:lang w:val="en-GB"/>
        </w:rPr>
      </w:pPr>
      <w:r>
        <w:rPr>
          <w:lang w:val="en-GB"/>
        </w:rPr>
        <w:t xml:space="preserve">There is also an ongoing discussion to support L1-based event-driven reporting. </w:t>
      </w:r>
      <w:r w:rsidR="00163762">
        <w:rPr>
          <w:lang w:val="en-GB"/>
        </w:rPr>
        <w:t xml:space="preserve">The main benefit of event-driven reporting is reduction of reporting, but so far there has been no discussion on reporting overhead. In fact, there has been no evaluations at all. </w:t>
      </w:r>
      <w:r w:rsidR="00291575" w:rsidRPr="00291575">
        <w:rPr>
          <w:lang w:val="en-GB"/>
        </w:rPr>
        <w:t>Experience from legacy generations have shown that the parameters that control the reporting are very difficult to tune. The optimal filtering parameters and triggering thresholds depend on characteristics of the individual connection, and those properties are unknown to the NW</w:t>
      </w:r>
      <w:r w:rsidR="00291575">
        <w:rPr>
          <w:lang w:val="en-GB"/>
        </w:rPr>
        <w:t>. In contrast to the event-driven reporting on L3, there is no reporting mechanism defined on L1/L2 – MAC CE does not trigger SR. Since the benefits are unclear, and the specification impact would seem large, we propose</w:t>
      </w:r>
    </w:p>
    <w:p w14:paraId="26A3415D" w14:textId="6441EE43" w:rsidR="00464755" w:rsidRPr="00291575" w:rsidRDefault="00291575" w:rsidP="00291575">
      <w:pPr>
        <w:pStyle w:val="Proposal"/>
        <w:rPr>
          <w:lang w:val="en-GB"/>
        </w:rPr>
      </w:pPr>
      <w:bookmarkStart w:id="33" w:name="_Toc79658942"/>
      <w:r>
        <w:rPr>
          <w:lang w:val="en-GB"/>
        </w:rPr>
        <w:t>Do not introduce event-driven reporting on L1/L2 in Rel-17.</w:t>
      </w:r>
      <w:bookmarkEnd w:id="33"/>
    </w:p>
    <w:p w14:paraId="365ECBB3" w14:textId="160F83D9" w:rsidR="002D3034" w:rsidRPr="00C5161D" w:rsidRDefault="00A3262A" w:rsidP="002D3034">
      <w:pPr>
        <w:snapToGrid w:val="0"/>
        <w:spacing w:after="0"/>
        <w:rPr>
          <w:rFonts w:eastAsia="Batang" w:cs="Arial"/>
          <w:szCs w:val="20"/>
          <w:lang w:val="en-GB"/>
        </w:rPr>
      </w:pPr>
      <w:r w:rsidRPr="00C5161D">
        <w:rPr>
          <w:rFonts w:eastAsia="Batang" w:cs="Arial"/>
          <w:szCs w:val="20"/>
          <w:lang w:val="en-GB"/>
        </w:rPr>
        <w:t>In RAN1#</w:t>
      </w:r>
      <w:r w:rsidR="00345B9D" w:rsidRPr="00C5161D">
        <w:rPr>
          <w:rFonts w:eastAsia="Batang" w:cs="Arial"/>
          <w:szCs w:val="20"/>
          <w:lang w:val="en-GB"/>
        </w:rPr>
        <w:t>104</w:t>
      </w:r>
      <w:r w:rsidR="00C5161D" w:rsidRPr="00C5161D">
        <w:rPr>
          <w:rFonts w:eastAsia="Batang" w:cs="Arial"/>
          <w:szCs w:val="20"/>
          <w:lang w:val="en-GB"/>
        </w:rPr>
        <w:t>bis</w:t>
      </w:r>
      <w:r w:rsidR="00345B9D" w:rsidRPr="00C5161D">
        <w:rPr>
          <w:rFonts w:eastAsia="Batang" w:cs="Arial"/>
          <w:szCs w:val="20"/>
          <w:lang w:val="en-GB"/>
        </w:rPr>
        <w:t>-e</w:t>
      </w:r>
      <w:r w:rsidRPr="00C5161D">
        <w:rPr>
          <w:rFonts w:eastAsia="Batang" w:cs="Arial"/>
          <w:szCs w:val="20"/>
          <w:lang w:val="en-GB"/>
        </w:rPr>
        <w:t>, this agreement was also reached</w:t>
      </w:r>
      <w:r w:rsidR="00D5149A">
        <w:rPr>
          <w:rFonts w:eastAsia="Batang" w:cs="Arial"/>
          <w:szCs w:val="20"/>
          <w:lang w:val="en-GB"/>
        </w:rPr>
        <w:t>:</w:t>
      </w:r>
    </w:p>
    <w:p w14:paraId="60EBB81A" w14:textId="77777777" w:rsidR="00A3262A" w:rsidRPr="00797F46" w:rsidRDefault="00A3262A" w:rsidP="002D3034">
      <w:pPr>
        <w:snapToGrid w:val="0"/>
        <w:spacing w:after="0"/>
        <w:rPr>
          <w:rFonts w:ascii="Times" w:eastAsia="Batang" w:hAnsi="Times" w:cs="Times New Roman"/>
          <w:szCs w:val="20"/>
          <w:highlight w:val="yellow"/>
          <w:lang w:val="en-GB"/>
        </w:rPr>
      </w:pPr>
    </w:p>
    <w:p w14:paraId="6DB96CFD" w14:textId="77777777" w:rsidR="002D3034" w:rsidRPr="00600E15" w:rsidRDefault="002D3034" w:rsidP="000E0F2D">
      <w:pPr>
        <w:pStyle w:val="BodyText"/>
      </w:pPr>
      <w:r w:rsidRPr="00600E15">
        <w:rPr>
          <w:noProof/>
        </w:rPr>
        <w:lastRenderedPageBreak/>
        <mc:AlternateContent>
          <mc:Choice Requires="wps">
            <w:drawing>
              <wp:inline distT="0" distB="0" distL="0" distR="0" wp14:anchorId="3D0D5AD0" wp14:editId="4461C4E3">
                <wp:extent cx="6146359" cy="771276"/>
                <wp:effectExtent l="0" t="0" r="26035" b="24765"/>
                <wp:docPr id="43" name="Text Box 43"/>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481E4135" w14:textId="77777777" w:rsidR="00E376B5" w:rsidRPr="00816B93" w:rsidRDefault="00E376B5" w:rsidP="00C5161D">
                            <w:pPr>
                              <w:rPr>
                                <w:rFonts w:ascii="Times New Roman" w:hAnsi="Times New Roman" w:cs="Times New Roman"/>
                                <w:b/>
                                <w:bCs/>
                                <w:szCs w:val="20"/>
                                <w:highlight w:val="green"/>
                                <w:lang w:eastAsia="x-none"/>
                              </w:rPr>
                            </w:pPr>
                            <w:r w:rsidRPr="00816B93">
                              <w:rPr>
                                <w:rFonts w:ascii="Times New Roman" w:hAnsi="Times New Roman" w:cs="Times New Roman"/>
                                <w:b/>
                                <w:bCs/>
                                <w:szCs w:val="20"/>
                                <w:highlight w:val="green"/>
                                <w:lang w:eastAsia="x-none"/>
                              </w:rPr>
                              <w:t>Agreement</w:t>
                            </w:r>
                          </w:p>
                          <w:p w14:paraId="4BB873A2" w14:textId="77777777" w:rsidR="00E376B5" w:rsidRPr="00816B93" w:rsidRDefault="00E376B5" w:rsidP="00C5161D">
                            <w:pPr>
                              <w:snapToGrid w:val="0"/>
                              <w:rPr>
                                <w:rFonts w:ascii="Times New Roman" w:hAnsi="Times New Roman" w:cs="Times New Roman"/>
                                <w:szCs w:val="20"/>
                              </w:rPr>
                            </w:pPr>
                            <w:r w:rsidRPr="00816B93">
                              <w:rPr>
                                <w:rFonts w:ascii="Times New Roman" w:hAnsi="Times New Roman" w:cs="Times New Roman"/>
                                <w:szCs w:val="20"/>
                              </w:rPr>
                              <w:t xml:space="preserve">On Rel.17 multi-beam measurement/reporting enhancements </w:t>
                            </w:r>
                            <w:r w:rsidRPr="00816B93">
                              <w:rPr>
                                <w:rFonts w:ascii="Times New Roman" w:hAnsi="Times New Roman" w:cs="Times New Roman"/>
                                <w:color w:val="000000"/>
                                <w:szCs w:val="20"/>
                              </w:rPr>
                              <w:t>for L1/L2-centric inter-cell mobility and inter-cell mTRP</w:t>
                            </w:r>
                            <w:r w:rsidRPr="00816B93">
                              <w:rPr>
                                <w:rFonts w:ascii="Times New Roman" w:hAnsi="Times New Roman" w:cs="Times New Roman"/>
                                <w:szCs w:val="20"/>
                              </w:rPr>
                              <w:t xml:space="preserve">, </w:t>
                            </w:r>
                          </w:p>
                          <w:p w14:paraId="7E38DE79" w14:textId="77777777" w:rsidR="00E376B5" w:rsidRPr="00816B93" w:rsidRDefault="00E376B5" w:rsidP="00C4412A">
                            <w:pPr>
                              <w:pStyle w:val="ListParagraph"/>
                              <w:numPr>
                                <w:ilvl w:val="0"/>
                                <w:numId w:val="23"/>
                              </w:numPr>
                              <w:autoSpaceDN w:val="0"/>
                              <w:snapToGrid w:val="0"/>
                              <w:spacing w:line="240" w:lineRule="auto"/>
                              <w:jc w:val="both"/>
                              <w:rPr>
                                <w:rFonts w:ascii="Times New Roman" w:hAnsi="Times New Roman" w:cs="Times New Roman"/>
                                <w:sz w:val="20"/>
                                <w:szCs w:val="20"/>
                                <w:lang w:eastAsia="ko-KR"/>
                              </w:rPr>
                            </w:pPr>
                            <w:r w:rsidRPr="00816B93">
                              <w:rPr>
                                <w:rFonts w:ascii="Times New Roman" w:hAnsi="Times New Roman" w:cs="Times New Roman"/>
                                <w:sz w:val="20"/>
                                <w:szCs w:val="20"/>
                                <w:lang w:eastAsia="ko-KR"/>
                              </w:rPr>
                              <w:t xml:space="preserve">In one reporting instance, depending on NW configuration, beam(s) associated with a non-serving cell can be mixed with that associated with serving-cell </w:t>
                            </w:r>
                          </w:p>
                          <w:p w14:paraId="66BBB2E1" w14:textId="77777777" w:rsidR="00E376B5" w:rsidRPr="00816B93" w:rsidRDefault="00E376B5" w:rsidP="00C4412A">
                            <w:pPr>
                              <w:pStyle w:val="ListParagraph"/>
                              <w:numPr>
                                <w:ilvl w:val="1"/>
                                <w:numId w:val="23"/>
                              </w:numPr>
                              <w:autoSpaceDN w:val="0"/>
                              <w:snapToGrid w:val="0"/>
                              <w:spacing w:line="240" w:lineRule="auto"/>
                              <w:jc w:val="both"/>
                              <w:rPr>
                                <w:rFonts w:ascii="Times New Roman" w:hAnsi="Times New Roman" w:cs="Times New Roman"/>
                                <w:sz w:val="20"/>
                                <w:szCs w:val="20"/>
                                <w:lang w:eastAsia="ko-KR"/>
                              </w:rPr>
                            </w:pPr>
                            <w:r w:rsidRPr="00816B93">
                              <w:rPr>
                                <w:rFonts w:ascii="Times New Roman" w:hAnsi="Times New Roman" w:cs="Times New Roman"/>
                                <w:sz w:val="20"/>
                                <w:szCs w:val="20"/>
                                <w:lang w:eastAsia="ko-KR"/>
                              </w:rPr>
                              <w:t>FFS: whether this applies to periodic, semi-persistent, and/or aperiodic</w:t>
                            </w:r>
                          </w:p>
                          <w:p w14:paraId="49CA435F" w14:textId="77777777" w:rsidR="00E376B5" w:rsidRPr="00816B93" w:rsidRDefault="00E376B5" w:rsidP="00C4412A">
                            <w:pPr>
                              <w:pStyle w:val="ListParagraph"/>
                              <w:numPr>
                                <w:ilvl w:val="1"/>
                                <w:numId w:val="23"/>
                              </w:numPr>
                              <w:autoSpaceDN w:val="0"/>
                              <w:snapToGrid w:val="0"/>
                              <w:spacing w:line="240" w:lineRule="auto"/>
                              <w:jc w:val="both"/>
                              <w:rPr>
                                <w:rFonts w:ascii="Times New Roman" w:hAnsi="Times New Roman" w:cs="Times New Roman"/>
                                <w:sz w:val="20"/>
                                <w:szCs w:val="20"/>
                                <w:lang w:eastAsia="ko-KR"/>
                              </w:rPr>
                            </w:pPr>
                            <w:r w:rsidRPr="00816B93">
                              <w:rPr>
                                <w:rFonts w:ascii="Times New Roman" w:eastAsia="DengXian" w:hAnsi="Times New Roman" w:cs="Times New Roman"/>
                                <w:bCs/>
                                <w:sz w:val="20"/>
                                <w:szCs w:val="20"/>
                                <w:lang w:eastAsia="ko-KR"/>
                              </w:rPr>
                              <w:t>FFS: How to report the K beams and corresponding qualities if the Tx power among the non-serving cell and with serving-cell is not the same</w:t>
                            </w:r>
                          </w:p>
                          <w:p w14:paraId="077085FD" w14:textId="1F7B91C7" w:rsidR="00E376B5" w:rsidRPr="00C5161D" w:rsidRDefault="00E376B5" w:rsidP="00C4412A">
                            <w:pPr>
                              <w:pStyle w:val="ListParagraph"/>
                              <w:numPr>
                                <w:ilvl w:val="1"/>
                                <w:numId w:val="23"/>
                              </w:numPr>
                              <w:autoSpaceDN w:val="0"/>
                              <w:snapToGrid w:val="0"/>
                              <w:spacing w:line="240" w:lineRule="auto"/>
                              <w:jc w:val="both"/>
                              <w:rPr>
                                <w:rFonts w:ascii="Times New Roman" w:hAnsi="Times New Roman" w:cs="Times New Roman"/>
                                <w:sz w:val="20"/>
                                <w:szCs w:val="20"/>
                                <w:lang w:eastAsia="ko-KR"/>
                              </w:rPr>
                            </w:pPr>
                            <w:r w:rsidRPr="00816B93">
                              <w:rPr>
                                <w:rFonts w:ascii="Times New Roman" w:eastAsia="DengXian" w:hAnsi="Times New Roman" w:cs="Times New Roman"/>
                                <w:bCs/>
                                <w:sz w:val="20"/>
                                <w:szCs w:val="20"/>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D0D5AD0" id="Text Box 43" o:spid="_x0000_s1040"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AJqpiCUQIAAKsEAAAOAAAAAAAAAAAAAAAAAC4CAABkcnMvZTJvRG9jLnhtbFBLAQItABQABgAI&#10;AAAAIQAiBMLm3AAAAAUBAAAPAAAAAAAAAAAAAAAAAKsEAABkcnMvZG93bnJldi54bWxQSwUGAAAA&#10;AAQABADzAAAAtAUAAAAA&#10;" fillcolor="white [3201]" strokeweight=".5pt">
                <v:textbox style="mso-fit-shape-to-text:t">
                  <w:txbxContent>
                    <w:p w14:paraId="481E4135" w14:textId="77777777" w:rsidR="00E376B5" w:rsidRPr="00816B93" w:rsidRDefault="00E376B5" w:rsidP="00C5161D">
                      <w:pPr>
                        <w:rPr>
                          <w:rFonts w:ascii="Times New Roman" w:hAnsi="Times New Roman" w:cs="Times New Roman"/>
                          <w:b/>
                          <w:bCs/>
                          <w:szCs w:val="20"/>
                          <w:highlight w:val="green"/>
                          <w:lang w:eastAsia="x-none"/>
                        </w:rPr>
                      </w:pPr>
                      <w:r w:rsidRPr="00816B93">
                        <w:rPr>
                          <w:rFonts w:ascii="Times New Roman" w:hAnsi="Times New Roman" w:cs="Times New Roman"/>
                          <w:b/>
                          <w:bCs/>
                          <w:szCs w:val="20"/>
                          <w:highlight w:val="green"/>
                          <w:lang w:eastAsia="x-none"/>
                        </w:rPr>
                        <w:t>Agreement</w:t>
                      </w:r>
                    </w:p>
                    <w:p w14:paraId="4BB873A2" w14:textId="77777777" w:rsidR="00E376B5" w:rsidRPr="00816B93" w:rsidRDefault="00E376B5" w:rsidP="00C5161D">
                      <w:pPr>
                        <w:snapToGrid w:val="0"/>
                        <w:rPr>
                          <w:rFonts w:ascii="Times New Roman" w:hAnsi="Times New Roman" w:cs="Times New Roman"/>
                          <w:szCs w:val="20"/>
                        </w:rPr>
                      </w:pPr>
                      <w:r w:rsidRPr="00816B93">
                        <w:rPr>
                          <w:rFonts w:ascii="Times New Roman" w:hAnsi="Times New Roman" w:cs="Times New Roman"/>
                          <w:szCs w:val="20"/>
                        </w:rPr>
                        <w:t xml:space="preserve">On Rel.17 multi-beam measurement/reporting enhancements </w:t>
                      </w:r>
                      <w:r w:rsidRPr="00816B93">
                        <w:rPr>
                          <w:rFonts w:ascii="Times New Roman" w:hAnsi="Times New Roman" w:cs="Times New Roman"/>
                          <w:color w:val="000000"/>
                          <w:szCs w:val="20"/>
                        </w:rPr>
                        <w:t>for L1/L2-centric inter-cell mobility and inter-cell mTRP</w:t>
                      </w:r>
                      <w:r w:rsidRPr="00816B93">
                        <w:rPr>
                          <w:rFonts w:ascii="Times New Roman" w:hAnsi="Times New Roman" w:cs="Times New Roman"/>
                          <w:szCs w:val="20"/>
                        </w:rPr>
                        <w:t xml:space="preserve">, </w:t>
                      </w:r>
                    </w:p>
                    <w:p w14:paraId="7E38DE79" w14:textId="77777777" w:rsidR="00E376B5" w:rsidRPr="00816B93" w:rsidRDefault="00E376B5" w:rsidP="00C4412A">
                      <w:pPr>
                        <w:pStyle w:val="ListParagraph"/>
                        <w:numPr>
                          <w:ilvl w:val="0"/>
                          <w:numId w:val="23"/>
                        </w:numPr>
                        <w:autoSpaceDN w:val="0"/>
                        <w:snapToGrid w:val="0"/>
                        <w:spacing w:line="240" w:lineRule="auto"/>
                        <w:jc w:val="both"/>
                        <w:rPr>
                          <w:rFonts w:ascii="Times New Roman" w:hAnsi="Times New Roman" w:cs="Times New Roman"/>
                          <w:sz w:val="20"/>
                          <w:szCs w:val="20"/>
                          <w:lang w:eastAsia="ko-KR"/>
                        </w:rPr>
                      </w:pPr>
                      <w:r w:rsidRPr="00816B93">
                        <w:rPr>
                          <w:rFonts w:ascii="Times New Roman" w:hAnsi="Times New Roman" w:cs="Times New Roman"/>
                          <w:sz w:val="20"/>
                          <w:szCs w:val="20"/>
                          <w:lang w:eastAsia="ko-KR"/>
                        </w:rPr>
                        <w:t xml:space="preserve">In one reporting instance, depending on NW configuration, beam(s) associated with a non-serving cell can be mixed with that associated with serving-cell </w:t>
                      </w:r>
                    </w:p>
                    <w:p w14:paraId="66BBB2E1" w14:textId="77777777" w:rsidR="00E376B5" w:rsidRPr="00816B93" w:rsidRDefault="00E376B5" w:rsidP="00C4412A">
                      <w:pPr>
                        <w:pStyle w:val="ListParagraph"/>
                        <w:numPr>
                          <w:ilvl w:val="1"/>
                          <w:numId w:val="23"/>
                        </w:numPr>
                        <w:autoSpaceDN w:val="0"/>
                        <w:snapToGrid w:val="0"/>
                        <w:spacing w:line="240" w:lineRule="auto"/>
                        <w:jc w:val="both"/>
                        <w:rPr>
                          <w:rFonts w:ascii="Times New Roman" w:hAnsi="Times New Roman" w:cs="Times New Roman"/>
                          <w:sz w:val="20"/>
                          <w:szCs w:val="20"/>
                          <w:lang w:eastAsia="ko-KR"/>
                        </w:rPr>
                      </w:pPr>
                      <w:r w:rsidRPr="00816B93">
                        <w:rPr>
                          <w:rFonts w:ascii="Times New Roman" w:hAnsi="Times New Roman" w:cs="Times New Roman"/>
                          <w:sz w:val="20"/>
                          <w:szCs w:val="20"/>
                          <w:lang w:eastAsia="ko-KR"/>
                        </w:rPr>
                        <w:t>FFS: whether this applies to periodic, semi-persistent, and/or aperiodic</w:t>
                      </w:r>
                    </w:p>
                    <w:p w14:paraId="49CA435F" w14:textId="77777777" w:rsidR="00E376B5" w:rsidRPr="00816B93" w:rsidRDefault="00E376B5" w:rsidP="00C4412A">
                      <w:pPr>
                        <w:pStyle w:val="ListParagraph"/>
                        <w:numPr>
                          <w:ilvl w:val="1"/>
                          <w:numId w:val="23"/>
                        </w:numPr>
                        <w:autoSpaceDN w:val="0"/>
                        <w:snapToGrid w:val="0"/>
                        <w:spacing w:line="240" w:lineRule="auto"/>
                        <w:jc w:val="both"/>
                        <w:rPr>
                          <w:rFonts w:ascii="Times New Roman" w:hAnsi="Times New Roman" w:cs="Times New Roman"/>
                          <w:sz w:val="20"/>
                          <w:szCs w:val="20"/>
                          <w:lang w:eastAsia="ko-KR"/>
                        </w:rPr>
                      </w:pPr>
                      <w:r w:rsidRPr="00816B93">
                        <w:rPr>
                          <w:rFonts w:ascii="Times New Roman" w:eastAsia="DengXian" w:hAnsi="Times New Roman" w:cs="Times New Roman"/>
                          <w:bCs/>
                          <w:sz w:val="20"/>
                          <w:szCs w:val="20"/>
                          <w:lang w:eastAsia="ko-KR"/>
                        </w:rPr>
                        <w:t>FFS: How to report the K beams and corresponding qualities if the Tx power among the non-serving cell and with serving-cell is not the same</w:t>
                      </w:r>
                    </w:p>
                    <w:p w14:paraId="077085FD" w14:textId="1F7B91C7" w:rsidR="00E376B5" w:rsidRPr="00C5161D" w:rsidRDefault="00E376B5" w:rsidP="00C4412A">
                      <w:pPr>
                        <w:pStyle w:val="ListParagraph"/>
                        <w:numPr>
                          <w:ilvl w:val="1"/>
                          <w:numId w:val="23"/>
                        </w:numPr>
                        <w:autoSpaceDN w:val="0"/>
                        <w:snapToGrid w:val="0"/>
                        <w:spacing w:line="240" w:lineRule="auto"/>
                        <w:jc w:val="both"/>
                        <w:rPr>
                          <w:rFonts w:ascii="Times New Roman" w:hAnsi="Times New Roman" w:cs="Times New Roman"/>
                          <w:sz w:val="20"/>
                          <w:szCs w:val="20"/>
                          <w:lang w:eastAsia="ko-KR"/>
                        </w:rPr>
                      </w:pPr>
                      <w:r w:rsidRPr="00816B93">
                        <w:rPr>
                          <w:rFonts w:ascii="Times New Roman" w:eastAsia="DengXian" w:hAnsi="Times New Roman" w:cs="Times New Roman"/>
                          <w:bCs/>
                          <w:sz w:val="20"/>
                          <w:szCs w:val="20"/>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txbxContent>
                </v:textbox>
                <w10:anchorlock/>
              </v:shape>
            </w:pict>
          </mc:Fallback>
        </mc:AlternateContent>
      </w:r>
    </w:p>
    <w:p w14:paraId="379AB7F8" w14:textId="77777777" w:rsidR="00600E15" w:rsidRDefault="00600E15" w:rsidP="006108A5">
      <w:pPr>
        <w:snapToGrid w:val="0"/>
        <w:spacing w:after="120"/>
        <w:rPr>
          <w:rFonts w:eastAsia="Batang" w:cs="Arial"/>
          <w:szCs w:val="20"/>
          <w:lang w:val="en-GB"/>
        </w:rPr>
      </w:pPr>
      <w:r>
        <w:rPr>
          <w:rFonts w:eastAsia="Batang" w:cs="Arial"/>
          <w:szCs w:val="20"/>
          <w:lang w:val="en-GB"/>
        </w:rPr>
        <w:t xml:space="preserve">This agreement contains some open issues and FFSs. The first open issue that was discussed to some level of detail in RAN1#104bis-e is how many non-serving cells can be included in one CSI reporting instance. Clearly, from a performance point of view, the more non-serving cells that are included in one CSI reporting instance, the better. In addition, UE complexity must be considered. It would seem that UE complexity would depend on how many non-serving cells the UE </w:t>
      </w:r>
      <w:r w:rsidRPr="00600E15">
        <w:rPr>
          <w:rFonts w:eastAsia="Batang" w:cs="Arial"/>
          <w:i/>
          <w:iCs/>
          <w:szCs w:val="20"/>
          <w:lang w:val="en-GB"/>
        </w:rPr>
        <w:t>measures</w:t>
      </w:r>
      <w:r>
        <w:rPr>
          <w:rFonts w:eastAsia="Batang" w:cs="Arial"/>
          <w:szCs w:val="20"/>
          <w:lang w:val="en-GB"/>
        </w:rPr>
        <w:t>: the more non-serving cells, potentially un-synchronized with the serving cell, the UE measures, the higher demand on the UE measurement capability:</w:t>
      </w:r>
    </w:p>
    <w:p w14:paraId="0FDC57D1" w14:textId="0F7DD1B0" w:rsidR="00600E15" w:rsidRDefault="00600E15" w:rsidP="00600E15">
      <w:pPr>
        <w:pStyle w:val="Observation"/>
        <w:rPr>
          <w:lang w:val="en-GB"/>
        </w:rPr>
      </w:pPr>
      <w:bookmarkStart w:id="34" w:name="_Toc79658917"/>
      <w:r>
        <w:rPr>
          <w:lang w:val="en-GB"/>
        </w:rPr>
        <w:t xml:space="preserve">The UE complexity of non-serving cell measurements is mainly </w:t>
      </w:r>
      <w:r w:rsidR="00796A4F">
        <w:rPr>
          <w:lang w:val="en-GB"/>
        </w:rPr>
        <w:t>determined by the total number of non-serving cells the UE measures.</w:t>
      </w:r>
      <w:bookmarkEnd w:id="34"/>
      <w:r>
        <w:rPr>
          <w:lang w:val="en-GB"/>
        </w:rPr>
        <w:t xml:space="preserve"> </w:t>
      </w:r>
    </w:p>
    <w:p w14:paraId="03175BD4" w14:textId="77777777" w:rsidR="00D5149A" w:rsidRDefault="00796A4F" w:rsidP="006108A5">
      <w:pPr>
        <w:snapToGrid w:val="0"/>
        <w:spacing w:after="120"/>
        <w:rPr>
          <w:rFonts w:eastAsia="Batang" w:cs="Arial"/>
          <w:szCs w:val="20"/>
          <w:lang w:val="en-GB"/>
        </w:rPr>
      </w:pPr>
      <w:r>
        <w:rPr>
          <w:rFonts w:eastAsia="Batang" w:cs="Arial"/>
          <w:szCs w:val="20"/>
          <w:lang w:val="en-GB"/>
        </w:rPr>
        <w:t xml:space="preserve">However, the UE complexity should be independent of if the measured non-serving cells are included in the same or different CSI reporting instances. Since </w:t>
      </w:r>
      <w:r w:rsidR="00D5149A">
        <w:rPr>
          <w:rFonts w:eastAsia="Batang" w:cs="Arial"/>
          <w:szCs w:val="20"/>
          <w:lang w:val="en-GB"/>
        </w:rPr>
        <w:t>no UE complexity impact has been identified, we propose</w:t>
      </w:r>
    </w:p>
    <w:p w14:paraId="41C38DD8" w14:textId="3F7C561A" w:rsidR="00796A4F" w:rsidRDefault="00D5149A" w:rsidP="00D5149A">
      <w:pPr>
        <w:pStyle w:val="Proposal"/>
        <w:rPr>
          <w:lang w:val="en-GB"/>
        </w:rPr>
      </w:pPr>
      <w:bookmarkStart w:id="35" w:name="_Toc79658943"/>
      <w:r>
        <w:rPr>
          <w:lang w:val="en-GB"/>
        </w:rPr>
        <w:t>Up to K non-serving cells can be included in one CSI reporting instance.</w:t>
      </w:r>
      <w:bookmarkEnd w:id="35"/>
    </w:p>
    <w:p w14:paraId="4559E64C" w14:textId="703EC41A" w:rsidR="006108A5" w:rsidRPr="00600E15" w:rsidRDefault="00D5149A" w:rsidP="006108A5">
      <w:pPr>
        <w:snapToGrid w:val="0"/>
        <w:spacing w:after="120"/>
        <w:rPr>
          <w:rFonts w:eastAsia="Batang" w:cs="Arial"/>
          <w:szCs w:val="20"/>
          <w:lang w:val="en-GB"/>
        </w:rPr>
      </w:pPr>
      <w:r>
        <w:rPr>
          <w:rFonts w:eastAsia="Batang" w:cs="Arial"/>
          <w:szCs w:val="20"/>
          <w:lang w:val="en-GB"/>
        </w:rPr>
        <w:t xml:space="preserve">The total number of measured non-serving cells is FFS. </w:t>
      </w:r>
      <w:r w:rsidR="006108A5" w:rsidRPr="00600E15">
        <w:rPr>
          <w:rFonts w:eastAsia="Batang" w:cs="Arial"/>
          <w:szCs w:val="20"/>
          <w:lang w:val="en-GB"/>
        </w:rPr>
        <w:t xml:space="preserve">One of the FFSs in the agreement is related to the detailed reporting method. </w:t>
      </w:r>
      <w:r w:rsidR="00F92F3E" w:rsidRPr="00600E15">
        <w:rPr>
          <w:rFonts w:eastAsia="Batang" w:cs="Arial"/>
          <w:szCs w:val="20"/>
          <w:lang w:val="en-GB"/>
        </w:rPr>
        <w:t>As previously remarked, h</w:t>
      </w:r>
      <w:r w:rsidR="006108A5" w:rsidRPr="00600E15">
        <w:rPr>
          <w:rFonts w:eastAsia="Batang" w:cs="Arial"/>
          <w:szCs w:val="20"/>
          <w:lang w:val="en-GB"/>
        </w:rPr>
        <w:t xml:space="preserve">ere we propose </w:t>
      </w:r>
      <w:r w:rsidR="00F92F3E" w:rsidRPr="00600E15">
        <w:rPr>
          <w:rFonts w:eastAsia="Batang" w:cs="Arial"/>
          <w:szCs w:val="20"/>
          <w:lang w:val="en-GB"/>
        </w:rPr>
        <w:t xml:space="preserve">to reuse the </w:t>
      </w:r>
      <w:r w:rsidR="006108A5" w:rsidRPr="00600E15">
        <w:rPr>
          <w:rFonts w:eastAsia="Batang" w:cs="Arial"/>
          <w:szCs w:val="20"/>
          <w:lang w:val="en-GB"/>
        </w:rPr>
        <w:t xml:space="preserve">CSI reporting </w:t>
      </w:r>
      <w:r w:rsidR="00F92F3E" w:rsidRPr="00600E15">
        <w:rPr>
          <w:rFonts w:eastAsia="Batang" w:cs="Arial"/>
          <w:szCs w:val="20"/>
          <w:lang w:val="en-GB"/>
        </w:rPr>
        <w:t xml:space="preserve">framework </w:t>
      </w:r>
      <w:r w:rsidR="00984474" w:rsidRPr="00600E15">
        <w:rPr>
          <w:rFonts w:eastAsia="Batang" w:cs="Arial"/>
          <w:szCs w:val="20"/>
          <w:lang w:val="en-GB"/>
        </w:rPr>
        <w:t xml:space="preserve">also </w:t>
      </w:r>
      <w:r w:rsidR="006108A5" w:rsidRPr="00600E15">
        <w:rPr>
          <w:rFonts w:eastAsia="Batang" w:cs="Arial"/>
          <w:szCs w:val="20"/>
          <w:lang w:val="en-GB"/>
        </w:rPr>
        <w:t>for int</w:t>
      </w:r>
      <w:r w:rsidR="00F92F3E" w:rsidRPr="00600E15">
        <w:rPr>
          <w:rFonts w:eastAsia="Batang" w:cs="Arial"/>
          <w:szCs w:val="20"/>
          <w:lang w:val="en-GB"/>
        </w:rPr>
        <w:t>er</w:t>
      </w:r>
      <w:r w:rsidR="006108A5" w:rsidRPr="00600E15">
        <w:rPr>
          <w:rFonts w:eastAsia="Batang" w:cs="Arial"/>
          <w:szCs w:val="20"/>
          <w:lang w:val="en-GB"/>
        </w:rPr>
        <w:t>-cell beam reporting.</w:t>
      </w:r>
    </w:p>
    <w:p w14:paraId="2A6B616E" w14:textId="15645692" w:rsidR="006108A5" w:rsidRPr="00D5149A" w:rsidRDefault="006108A5" w:rsidP="006108A5">
      <w:pPr>
        <w:snapToGrid w:val="0"/>
        <w:spacing w:after="120"/>
      </w:pPr>
      <w:r w:rsidRPr="00D5149A">
        <w:t xml:space="preserve">The NW configures the UE to perform measurements on SSBs by using the RRC IE </w:t>
      </w:r>
      <w:r w:rsidRPr="00D5149A">
        <w:rPr>
          <w:i/>
        </w:rPr>
        <w:t>CSI-SSB-ResourceSet</w:t>
      </w:r>
      <w:r w:rsidRPr="00D5149A">
        <w:t xml:space="preserve">. In Rel-16, an </w:t>
      </w:r>
      <w:r w:rsidRPr="00D5149A">
        <w:rPr>
          <w:i/>
        </w:rPr>
        <w:t>CSI-SSB-ResourceSet</w:t>
      </w:r>
      <w:r w:rsidRPr="00D5149A">
        <w:t xml:space="preserve"> contains a list of SSB indices, implicitly pointing to the current serving cell. The </w:t>
      </w:r>
      <w:r w:rsidRPr="00D5149A">
        <w:rPr>
          <w:i/>
        </w:rPr>
        <w:t xml:space="preserve">CSI-SSB-ResourceSet </w:t>
      </w:r>
      <w:r w:rsidRPr="00D5149A">
        <w:t xml:space="preserve">is then referenced from the </w:t>
      </w:r>
      <w:r w:rsidRPr="00D5149A">
        <w:rPr>
          <w:i/>
        </w:rPr>
        <w:t xml:space="preserve">CSI-AssociatedReportConfigInfo </w:t>
      </w:r>
      <w:r w:rsidRPr="00D5149A">
        <w:t xml:space="preserve">(for aperiodic reporting) or from </w:t>
      </w:r>
      <w:r w:rsidRPr="00D5149A">
        <w:rPr>
          <w:i/>
        </w:rPr>
        <w:t xml:space="preserve">CSI-ResourceConfig </w:t>
      </w:r>
      <w:r w:rsidRPr="00D5149A">
        <w:t>(for periodic and semi-persistent reporting).</w:t>
      </w:r>
    </w:p>
    <w:p w14:paraId="74857C3E" w14:textId="77777777" w:rsidR="006108A5" w:rsidRPr="00D5149A" w:rsidRDefault="006108A5" w:rsidP="000E0F2D">
      <w:pPr>
        <w:pStyle w:val="BodyText"/>
      </w:pPr>
      <w:r w:rsidRPr="00D5149A">
        <w:t xml:space="preserve">It would thus seem appropriate to include the non-serving cell SSB configuration in the </w:t>
      </w:r>
      <w:r w:rsidRPr="00D5149A">
        <w:rPr>
          <w:i/>
        </w:rPr>
        <w:t xml:space="preserve">CSI-SSB-ResourceSet. </w:t>
      </w:r>
      <w:r w:rsidRPr="00D5149A">
        <w:t xml:space="preserve">With this addition, the UE can be configured to report using periodic, semi-persistent and aperiodic reporting. Also, in this case, there are two options: </w:t>
      </w:r>
    </w:p>
    <w:p w14:paraId="3FFC5B12" w14:textId="3B31E4E1" w:rsidR="006108A5" w:rsidRPr="00D5149A" w:rsidRDefault="006108A5" w:rsidP="00C4412A">
      <w:pPr>
        <w:pStyle w:val="BodyText"/>
        <w:numPr>
          <w:ilvl w:val="0"/>
          <w:numId w:val="16"/>
        </w:numPr>
      </w:pPr>
      <w:r w:rsidRPr="00D5149A">
        <w:t xml:space="preserve">The non-serving cell SSB configuration is included directly in the </w:t>
      </w:r>
      <w:r w:rsidRPr="00D5149A">
        <w:rPr>
          <w:i/>
        </w:rPr>
        <w:t xml:space="preserve">CSI-SSB-ResourceSet, </w:t>
      </w:r>
      <w:r w:rsidRPr="00D5149A">
        <w:t xml:space="preserve">meaning that all SSBs in one </w:t>
      </w:r>
      <w:r w:rsidRPr="00D5149A">
        <w:rPr>
          <w:i/>
        </w:rPr>
        <w:t xml:space="preserve">CSI-SSB-ResourceSet </w:t>
      </w:r>
      <w:r w:rsidRPr="00D5149A">
        <w:t xml:space="preserve">belong to the same non-serving cell. </w:t>
      </w:r>
    </w:p>
    <w:p w14:paraId="4F3EA7D1" w14:textId="77777777" w:rsidR="006108A5" w:rsidRPr="00D5149A" w:rsidRDefault="006108A5" w:rsidP="00C4412A">
      <w:pPr>
        <w:pStyle w:val="BodyText"/>
        <w:numPr>
          <w:ilvl w:val="0"/>
          <w:numId w:val="16"/>
        </w:numPr>
      </w:pPr>
      <w:r w:rsidRPr="00D5149A">
        <w:t xml:space="preserve">The non-serving cell SSB configuration is included in the field </w:t>
      </w:r>
      <w:r w:rsidRPr="00D5149A">
        <w:rPr>
          <w:i/>
        </w:rPr>
        <w:t>csi-SSB-ResourceList</w:t>
      </w:r>
      <w:r w:rsidRPr="00D5149A">
        <w:t xml:space="preserve">, inside the </w:t>
      </w:r>
      <w:r w:rsidRPr="00D5149A">
        <w:rPr>
          <w:i/>
        </w:rPr>
        <w:t>CSI-SSB-ResourceSet</w:t>
      </w:r>
      <w:r w:rsidRPr="00D5149A">
        <w:t xml:space="preserve">. This means that one </w:t>
      </w:r>
      <w:r w:rsidRPr="00D5149A">
        <w:rPr>
          <w:i/>
        </w:rPr>
        <w:t xml:space="preserve">CSI-SSB-ResourceSet </w:t>
      </w:r>
      <w:r w:rsidRPr="00D5149A">
        <w:t xml:space="preserve">can contain SSBs from different cells.              </w:t>
      </w:r>
    </w:p>
    <w:p w14:paraId="31B8D471" w14:textId="77777777" w:rsidR="006108A5" w:rsidRPr="00D5149A" w:rsidRDefault="006108A5" w:rsidP="000E0F2D">
      <w:pPr>
        <w:pStyle w:val="BodyText"/>
      </w:pPr>
      <w:r w:rsidRPr="00D5149A">
        <w:t>Here it would seem that the second option is preferable: the first option may be prohibitively complicated. Thus, we propose</w:t>
      </w:r>
    </w:p>
    <w:p w14:paraId="1ABAD2E3" w14:textId="77777777" w:rsidR="006108A5" w:rsidRPr="00D5149A" w:rsidRDefault="006108A5" w:rsidP="000E0F2D">
      <w:pPr>
        <w:pStyle w:val="Proposal"/>
      </w:pPr>
      <w:bookmarkStart w:id="36" w:name="_Toc79658944"/>
      <w:r w:rsidRPr="00D5149A">
        <w:t xml:space="preserve">Define the </w:t>
      </w:r>
      <w:r w:rsidRPr="00D5149A">
        <w:rPr>
          <w:i/>
        </w:rPr>
        <w:t xml:space="preserve">CSI-SSB-ResourceSet </w:t>
      </w:r>
      <w:r w:rsidRPr="00D5149A">
        <w:t>so that one report can contain measurements from different cells.</w:t>
      </w:r>
      <w:bookmarkEnd w:id="36"/>
    </w:p>
    <w:p w14:paraId="7AFA7BC9" w14:textId="04857037" w:rsidR="0088721C" w:rsidRDefault="0088721C" w:rsidP="000E0F2D">
      <w:pPr>
        <w:pStyle w:val="BodyText"/>
      </w:pPr>
      <w:r>
        <w:t>In RAN1#105-e, the following agreement was made:</w:t>
      </w:r>
    </w:p>
    <w:p w14:paraId="5189CC17" w14:textId="77777777" w:rsidR="0088721C" w:rsidRPr="00600E15" w:rsidRDefault="0088721C" w:rsidP="0088721C">
      <w:pPr>
        <w:pStyle w:val="BodyText"/>
      </w:pPr>
      <w:r w:rsidRPr="00600E15">
        <w:rPr>
          <w:noProof/>
        </w:rPr>
        <w:lastRenderedPageBreak/>
        <mc:AlternateContent>
          <mc:Choice Requires="wps">
            <w:drawing>
              <wp:inline distT="0" distB="0" distL="0" distR="0" wp14:anchorId="2E6766B3" wp14:editId="4FDB9A6C">
                <wp:extent cx="6146359" cy="771276"/>
                <wp:effectExtent l="0" t="0" r="26035" b="24765"/>
                <wp:docPr id="21" name="Text Box 21"/>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127B32B6" w14:textId="77777777" w:rsidR="00E376B5" w:rsidRPr="007A4B66" w:rsidRDefault="00E376B5" w:rsidP="0088721C">
                            <w:pPr>
                              <w:snapToGrid w:val="0"/>
                              <w:jc w:val="both"/>
                              <w:rPr>
                                <w:rFonts w:ascii="Times New Roman" w:hAnsi="Times New Roman" w:cs="Times New Roman"/>
                                <w:szCs w:val="20"/>
                                <w:lang w:eastAsia="ko-KR"/>
                              </w:rPr>
                            </w:pPr>
                            <w:r w:rsidRPr="007A4B66">
                              <w:rPr>
                                <w:rFonts w:ascii="Times New Roman" w:hAnsi="Times New Roman" w:cs="Times New Roman"/>
                                <w:b/>
                                <w:bCs/>
                                <w:szCs w:val="20"/>
                                <w:highlight w:val="green"/>
                              </w:rPr>
                              <w:t>Agreement</w:t>
                            </w:r>
                          </w:p>
                          <w:p w14:paraId="1B552D69" w14:textId="77777777" w:rsidR="00E376B5" w:rsidRPr="007A4B66" w:rsidRDefault="00E376B5" w:rsidP="0088721C">
                            <w:pPr>
                              <w:snapToGrid w:val="0"/>
                              <w:jc w:val="both"/>
                              <w:rPr>
                                <w:rFonts w:ascii="Times New Roman" w:hAnsi="Times New Roman" w:cs="Times New Roman"/>
                                <w:szCs w:val="20"/>
                              </w:rPr>
                            </w:pPr>
                            <w:r w:rsidRPr="007A4B66">
                              <w:rPr>
                                <w:rFonts w:ascii="Times New Roman" w:hAnsi="Times New Roman" w:cs="Times New Roman"/>
                                <w:szCs w:val="20"/>
                              </w:rPr>
                              <w:t>On Rel.17 L1-RSRP multi-beam measurement/reporting enhancements for L1/L2-centric inter-cell mobility and inter-cell mTRP, decide by RAN1#106-e whether to support the following RS types as measurement RS or not:</w:t>
                            </w:r>
                          </w:p>
                          <w:p w14:paraId="2DBBDEF3" w14:textId="77777777" w:rsidR="00E376B5" w:rsidRPr="007A4B66" w:rsidRDefault="00E376B5" w:rsidP="00C4412A">
                            <w:pPr>
                              <w:pStyle w:val="ListParagraph"/>
                              <w:numPr>
                                <w:ilvl w:val="0"/>
                                <w:numId w:val="45"/>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mobility/RRM associated with a non-serving cell  </w:t>
                            </w:r>
                          </w:p>
                          <w:p w14:paraId="1B64E6E6" w14:textId="77777777" w:rsidR="00E376B5" w:rsidRPr="007A4B66" w:rsidRDefault="00E376B5" w:rsidP="00C4412A">
                            <w:pPr>
                              <w:pStyle w:val="ListParagraph"/>
                              <w:numPr>
                                <w:ilvl w:val="0"/>
                                <w:numId w:val="45"/>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BM associated with a non-serving cell  </w:t>
                            </w:r>
                          </w:p>
                          <w:p w14:paraId="08FAB823" w14:textId="77777777" w:rsidR="00E376B5" w:rsidRPr="007A4B66" w:rsidRDefault="00E376B5" w:rsidP="00C4412A">
                            <w:pPr>
                              <w:pStyle w:val="ListParagraph"/>
                              <w:numPr>
                                <w:ilvl w:val="0"/>
                                <w:numId w:val="45"/>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tracking associated with a non-serving cell  </w:t>
                            </w:r>
                          </w:p>
                          <w:p w14:paraId="1576BB22" w14:textId="77777777" w:rsidR="00E376B5" w:rsidRPr="007A4B66" w:rsidRDefault="00E376B5" w:rsidP="0088721C">
                            <w:pPr>
                              <w:snapToGrid w:val="0"/>
                              <w:jc w:val="both"/>
                              <w:rPr>
                                <w:rFonts w:ascii="Times New Roman" w:hAnsi="Times New Roman" w:cs="Times New Roman"/>
                                <w:szCs w:val="20"/>
                              </w:rPr>
                            </w:pPr>
                            <w:r w:rsidRPr="007A4B66">
                              <w:rPr>
                                <w:rFonts w:ascii="Times New Roman" w:hAnsi="Times New Roman" w:cs="Times New Roman"/>
                                <w:szCs w:val="20"/>
                              </w:rPr>
                              <w:t>Note: If another beam metric other than L1-RSRP is supported (e.g. L3-RSRP is still FFS), the above also applies</w:t>
                            </w:r>
                          </w:p>
                          <w:p w14:paraId="6689DA55" w14:textId="1E756D83" w:rsidR="00E376B5" w:rsidRPr="0088721C" w:rsidRDefault="00E376B5" w:rsidP="0088721C">
                            <w:pPr>
                              <w:snapToGrid w:val="0"/>
                              <w:jc w:val="both"/>
                              <w:rPr>
                                <w:rFonts w:ascii="Times New Roman" w:hAnsi="Times New Roman" w:cs="Times New Roman"/>
                                <w:szCs w:val="20"/>
                              </w:rPr>
                            </w:pPr>
                            <w:r w:rsidRPr="007A4B66">
                              <w:rPr>
                                <w:rFonts w:ascii="Times New Roman" w:hAnsi="Times New Roman" w:cs="Times New Roman"/>
                                <w:szCs w:val="20"/>
                              </w:rPr>
                              <w:t>Note: An RS is associated with a non-serving cell means that it is either configured for a non-serving cell or configured for a serving cell but is QCLed with a non-serving cell SSB</w:t>
                            </w:r>
                            <w:r>
                              <w:rPr>
                                <w:rFonts w:ascii="Times New Roman" w:hAnsi="Times New Roman" w:cs="Times New Roman"/>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E6766B3" id="Text Box 21" o:spid="_x0000_s1041"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Dk7i8EUQIAAKsEAAAOAAAAAAAAAAAAAAAAAC4CAABkcnMvZTJvRG9jLnhtbFBLAQItABQABgAI&#10;AAAAIQAiBMLm3AAAAAUBAAAPAAAAAAAAAAAAAAAAAKsEAABkcnMvZG93bnJldi54bWxQSwUGAAAA&#10;AAQABADzAAAAtAUAAAAA&#10;" fillcolor="white [3201]" strokeweight=".5pt">
                <v:textbox style="mso-fit-shape-to-text:t">
                  <w:txbxContent>
                    <w:p w14:paraId="127B32B6" w14:textId="77777777" w:rsidR="00E376B5" w:rsidRPr="007A4B66" w:rsidRDefault="00E376B5" w:rsidP="0088721C">
                      <w:pPr>
                        <w:snapToGrid w:val="0"/>
                        <w:jc w:val="both"/>
                        <w:rPr>
                          <w:rFonts w:ascii="Times New Roman" w:hAnsi="Times New Roman" w:cs="Times New Roman"/>
                          <w:szCs w:val="20"/>
                          <w:lang w:eastAsia="ko-KR"/>
                        </w:rPr>
                      </w:pPr>
                      <w:r w:rsidRPr="007A4B66">
                        <w:rPr>
                          <w:rFonts w:ascii="Times New Roman" w:hAnsi="Times New Roman" w:cs="Times New Roman"/>
                          <w:b/>
                          <w:bCs/>
                          <w:szCs w:val="20"/>
                          <w:highlight w:val="green"/>
                        </w:rPr>
                        <w:t>Agreement</w:t>
                      </w:r>
                    </w:p>
                    <w:p w14:paraId="1B552D69" w14:textId="77777777" w:rsidR="00E376B5" w:rsidRPr="007A4B66" w:rsidRDefault="00E376B5" w:rsidP="0088721C">
                      <w:pPr>
                        <w:snapToGrid w:val="0"/>
                        <w:jc w:val="both"/>
                        <w:rPr>
                          <w:rFonts w:ascii="Times New Roman" w:hAnsi="Times New Roman" w:cs="Times New Roman"/>
                          <w:szCs w:val="20"/>
                        </w:rPr>
                      </w:pPr>
                      <w:r w:rsidRPr="007A4B66">
                        <w:rPr>
                          <w:rFonts w:ascii="Times New Roman" w:hAnsi="Times New Roman" w:cs="Times New Roman"/>
                          <w:szCs w:val="20"/>
                        </w:rPr>
                        <w:t>On Rel.17 L1-RSRP multi-beam measurement/reporting enhancements for L1/L2-centric inter-cell mobility and inter-cell mTRP, decide by RAN1#106-e whether to support the following RS types as measurement RS or not:</w:t>
                      </w:r>
                    </w:p>
                    <w:p w14:paraId="2DBBDEF3" w14:textId="77777777" w:rsidR="00E376B5" w:rsidRPr="007A4B66" w:rsidRDefault="00E376B5" w:rsidP="00C4412A">
                      <w:pPr>
                        <w:pStyle w:val="ListParagraph"/>
                        <w:numPr>
                          <w:ilvl w:val="0"/>
                          <w:numId w:val="45"/>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mobility/RRM associated with a non-serving cell  </w:t>
                      </w:r>
                    </w:p>
                    <w:p w14:paraId="1B64E6E6" w14:textId="77777777" w:rsidR="00E376B5" w:rsidRPr="007A4B66" w:rsidRDefault="00E376B5" w:rsidP="00C4412A">
                      <w:pPr>
                        <w:pStyle w:val="ListParagraph"/>
                        <w:numPr>
                          <w:ilvl w:val="0"/>
                          <w:numId w:val="45"/>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BM associated with a non-serving cell  </w:t>
                      </w:r>
                    </w:p>
                    <w:p w14:paraId="08FAB823" w14:textId="77777777" w:rsidR="00E376B5" w:rsidRPr="007A4B66" w:rsidRDefault="00E376B5" w:rsidP="00C4412A">
                      <w:pPr>
                        <w:pStyle w:val="ListParagraph"/>
                        <w:numPr>
                          <w:ilvl w:val="0"/>
                          <w:numId w:val="45"/>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tracking associated with a non-serving cell  </w:t>
                      </w:r>
                    </w:p>
                    <w:p w14:paraId="1576BB22" w14:textId="77777777" w:rsidR="00E376B5" w:rsidRPr="007A4B66" w:rsidRDefault="00E376B5" w:rsidP="0088721C">
                      <w:pPr>
                        <w:snapToGrid w:val="0"/>
                        <w:jc w:val="both"/>
                        <w:rPr>
                          <w:rFonts w:ascii="Times New Roman" w:hAnsi="Times New Roman" w:cs="Times New Roman"/>
                          <w:szCs w:val="20"/>
                        </w:rPr>
                      </w:pPr>
                      <w:r w:rsidRPr="007A4B66">
                        <w:rPr>
                          <w:rFonts w:ascii="Times New Roman" w:hAnsi="Times New Roman" w:cs="Times New Roman"/>
                          <w:szCs w:val="20"/>
                        </w:rPr>
                        <w:t>Note: If another beam metric other than L1-RSRP is supported (</w:t>
                      </w:r>
                      <w:proofErr w:type="gramStart"/>
                      <w:r w:rsidRPr="007A4B66">
                        <w:rPr>
                          <w:rFonts w:ascii="Times New Roman" w:hAnsi="Times New Roman" w:cs="Times New Roman"/>
                          <w:szCs w:val="20"/>
                        </w:rPr>
                        <w:t>e.g.</w:t>
                      </w:r>
                      <w:proofErr w:type="gramEnd"/>
                      <w:r w:rsidRPr="007A4B66">
                        <w:rPr>
                          <w:rFonts w:ascii="Times New Roman" w:hAnsi="Times New Roman" w:cs="Times New Roman"/>
                          <w:szCs w:val="20"/>
                        </w:rPr>
                        <w:t xml:space="preserve"> L3-RSRP is still FFS), the above also applies</w:t>
                      </w:r>
                    </w:p>
                    <w:p w14:paraId="6689DA55" w14:textId="1E756D83" w:rsidR="00E376B5" w:rsidRPr="0088721C" w:rsidRDefault="00E376B5" w:rsidP="0088721C">
                      <w:pPr>
                        <w:snapToGrid w:val="0"/>
                        <w:jc w:val="both"/>
                        <w:rPr>
                          <w:rFonts w:ascii="Times New Roman" w:hAnsi="Times New Roman" w:cs="Times New Roman"/>
                          <w:szCs w:val="20"/>
                        </w:rPr>
                      </w:pPr>
                      <w:r w:rsidRPr="007A4B66">
                        <w:rPr>
                          <w:rFonts w:ascii="Times New Roman" w:hAnsi="Times New Roman" w:cs="Times New Roman"/>
                          <w:szCs w:val="20"/>
                        </w:rPr>
                        <w:t>Note: An RS is associated with a non-serving cell means that it is either configured for a non-serving cell or configured for a serving cell but is QCLed with a non-serving cell SSB</w:t>
                      </w:r>
                      <w:r>
                        <w:rPr>
                          <w:rFonts w:ascii="Times New Roman" w:hAnsi="Times New Roman" w:cs="Times New Roman"/>
                          <w:szCs w:val="20"/>
                        </w:rPr>
                        <w:t>.</w:t>
                      </w:r>
                    </w:p>
                  </w:txbxContent>
                </v:textbox>
                <w10:anchorlock/>
              </v:shape>
            </w:pict>
          </mc:Fallback>
        </mc:AlternateContent>
      </w:r>
    </w:p>
    <w:p w14:paraId="3D607547" w14:textId="539D325A" w:rsidR="0088721C" w:rsidRDefault="0088721C" w:rsidP="000E0F2D">
      <w:pPr>
        <w:pStyle w:val="BodyText"/>
      </w:pPr>
      <w:r>
        <w:t>Again, in an effort to align with intra-cell beam management, we propose to support measurements on CSI-RS for BM associated with a non-serving cell:</w:t>
      </w:r>
    </w:p>
    <w:p w14:paraId="50A18854" w14:textId="3B425900" w:rsidR="0088721C" w:rsidRDefault="0088721C" w:rsidP="0088721C">
      <w:pPr>
        <w:pStyle w:val="Proposal"/>
      </w:pPr>
      <w:bookmarkStart w:id="37" w:name="_Ref78807799"/>
      <w:bookmarkStart w:id="38" w:name="_Toc79658945"/>
      <w:r>
        <w:t>Support L1-RSRP measurements on CSI-RS for BM associated with a non-serving cell.</w:t>
      </w:r>
      <w:bookmarkEnd w:id="37"/>
      <w:bookmarkEnd w:id="38"/>
    </w:p>
    <w:p w14:paraId="10673891" w14:textId="7F3EDA07" w:rsidR="0088721C" w:rsidRDefault="0088721C" w:rsidP="000E0F2D">
      <w:pPr>
        <w:pStyle w:val="BodyText"/>
      </w:pPr>
      <w:r>
        <w:t xml:space="preserve">Note that there is no additional specification impact of </w:t>
      </w:r>
      <w:r>
        <w:fldChar w:fldCharType="begin"/>
      </w:r>
      <w:r>
        <w:instrText xml:space="preserve"> REF _Ref78807799 \r \h </w:instrText>
      </w:r>
      <w:r>
        <w:fldChar w:fldCharType="separate"/>
      </w:r>
      <w:r w:rsidR="004F6468">
        <w:t>Proposal 23</w:t>
      </w:r>
      <w:r>
        <w:fldChar w:fldCharType="end"/>
      </w:r>
      <w:r>
        <w:t>: the modification of the TCI states required to support inter-cell beam indication provides the necessary signaling support for L1-RSRP measurements on CSI-RS for beam management.</w:t>
      </w:r>
    </w:p>
    <w:p w14:paraId="1D9197F6" w14:textId="54EE8DAB" w:rsidR="0088721C" w:rsidRDefault="0088721C" w:rsidP="000E0F2D">
      <w:pPr>
        <w:pStyle w:val="BodyText"/>
      </w:pPr>
      <w:r>
        <w:t>We do not see the benefit to introduce support for measurements on CSI-RS for mobility or CSI-RS for tracking for inter-cell beam management.</w:t>
      </w:r>
    </w:p>
    <w:p w14:paraId="5EBDB1E9" w14:textId="4193A359" w:rsidR="00291575" w:rsidRPr="00291575" w:rsidRDefault="00291575" w:rsidP="00291575">
      <w:pPr>
        <w:pStyle w:val="Heading3"/>
      </w:pPr>
      <w:r>
        <w:t>2.2.2</w:t>
      </w:r>
      <w:r>
        <w:tab/>
        <w:t>Non-serving cell information</w:t>
      </w:r>
    </w:p>
    <w:p w14:paraId="794D1835" w14:textId="3C60EE16" w:rsidR="00F92F3E" w:rsidRPr="00D5149A" w:rsidRDefault="00472C19" w:rsidP="00AF36E3">
      <w:pPr>
        <w:pStyle w:val="BodyText"/>
      </w:pPr>
      <w:r>
        <w:t xml:space="preserve">To support </w:t>
      </w:r>
      <w:r w:rsidRPr="00472C19">
        <w:t>beam indication associated with cell(s) with any Physical Cell ID(s)</w:t>
      </w:r>
      <w:r>
        <w:t xml:space="preserve">, information on </w:t>
      </w:r>
      <w:r w:rsidR="00AF36E3">
        <w:t xml:space="preserve">non-serving cells must be associated with a TCI state. </w:t>
      </w:r>
      <w:r w:rsidR="00F92F3E" w:rsidRPr="00D5149A">
        <w:t>The next step is to decide</w:t>
      </w:r>
    </w:p>
    <w:p w14:paraId="1DA69587" w14:textId="77777777" w:rsidR="00F92F3E" w:rsidRPr="00D5149A" w:rsidRDefault="00F92F3E" w:rsidP="00C4412A">
      <w:pPr>
        <w:pStyle w:val="ListParagraph"/>
        <w:numPr>
          <w:ilvl w:val="0"/>
          <w:numId w:val="13"/>
        </w:numPr>
        <w:rPr>
          <w:rFonts w:ascii="Arial" w:hAnsi="Arial" w:cs="Arial"/>
          <w:sz w:val="20"/>
          <w:szCs w:val="20"/>
        </w:rPr>
      </w:pPr>
      <w:r w:rsidRPr="00D5149A">
        <w:rPr>
          <w:rFonts w:ascii="Arial" w:hAnsi="Arial" w:cs="Arial"/>
          <w:sz w:val="20"/>
          <w:szCs w:val="20"/>
          <w:lang w:val="en-US"/>
        </w:rPr>
        <w:t>What non-serving cell info should be incorporated?</w:t>
      </w:r>
    </w:p>
    <w:p w14:paraId="1AC321A7" w14:textId="77777777" w:rsidR="00F92F3E" w:rsidRPr="00D5149A" w:rsidRDefault="00F92F3E" w:rsidP="00C4412A">
      <w:pPr>
        <w:pStyle w:val="ListParagraph"/>
        <w:numPr>
          <w:ilvl w:val="0"/>
          <w:numId w:val="13"/>
        </w:numPr>
        <w:rPr>
          <w:rFonts w:ascii="Arial" w:hAnsi="Arial" w:cs="Arial"/>
          <w:sz w:val="20"/>
          <w:szCs w:val="20"/>
        </w:rPr>
      </w:pPr>
      <w:r w:rsidRPr="00D5149A">
        <w:rPr>
          <w:rFonts w:ascii="Arial" w:hAnsi="Arial" w:cs="Arial"/>
          <w:sz w:val="20"/>
          <w:szCs w:val="20"/>
          <w:lang w:val="en-US"/>
        </w:rPr>
        <w:t>How should it be incorporated?</w:t>
      </w:r>
    </w:p>
    <w:p w14:paraId="3719F15C" w14:textId="0C79B02E" w:rsidR="00F92F3E" w:rsidRPr="00D5149A" w:rsidRDefault="00F92F3E" w:rsidP="00F92F3E">
      <w:pPr>
        <w:pStyle w:val="BodyText"/>
      </w:pPr>
      <w:r w:rsidRPr="00D5149A">
        <w:t>Non-serving cell info includes at least PCI – this is what the UE uses to identify a cell. Hence, we propose</w:t>
      </w:r>
    </w:p>
    <w:p w14:paraId="33C21A68" w14:textId="51FECD61" w:rsidR="00486E94" w:rsidRPr="00D5149A" w:rsidRDefault="00486E94" w:rsidP="00F92F3E">
      <w:pPr>
        <w:pStyle w:val="Proposal"/>
      </w:pPr>
      <w:bookmarkStart w:id="39" w:name="_Toc79658946"/>
      <w:r w:rsidRPr="00D5149A">
        <w:t>Non-serving cell information includes PCI of the non-serving cell.</w:t>
      </w:r>
      <w:bookmarkEnd w:id="39"/>
    </w:p>
    <w:p w14:paraId="0783885F" w14:textId="1802553C" w:rsidR="00A34EE1" w:rsidRPr="00D5149A" w:rsidRDefault="00A34EE1" w:rsidP="00486E94">
      <w:r w:rsidRPr="00D5149A">
        <w:t xml:space="preserve">We note there </w:t>
      </w:r>
      <w:r w:rsidR="00984474" w:rsidRPr="00D5149A">
        <w:t>is a</w:t>
      </w:r>
      <w:r w:rsidRPr="00D5149A">
        <w:t xml:space="preserve"> similar agreement in inter-cell multi-TRP:</w:t>
      </w:r>
    </w:p>
    <w:p w14:paraId="2F28A07A" w14:textId="0C8EEAE7" w:rsidR="00A34EE1" w:rsidRPr="00D5149A" w:rsidRDefault="00A34EE1" w:rsidP="00486E94">
      <w:pPr>
        <w:rPr>
          <w:lang w:eastAsia="ja-JP"/>
        </w:rPr>
      </w:pPr>
      <w:r w:rsidRPr="00D5149A">
        <w:rPr>
          <w:rFonts w:ascii="Times New Roman" w:hAnsi="Times New Roman" w:cs="Times New Roman"/>
          <w:noProof/>
        </w:rPr>
        <mc:AlternateContent>
          <mc:Choice Requires="wps">
            <w:drawing>
              <wp:inline distT="0" distB="0" distL="0" distR="0" wp14:anchorId="79147242" wp14:editId="20704963">
                <wp:extent cx="6381750" cy="356870"/>
                <wp:effectExtent l="0" t="0" r="19050" b="26035"/>
                <wp:docPr id="3" name="Text Box 3"/>
                <wp:cNvGraphicFramePr/>
                <a:graphic xmlns:a="http://schemas.openxmlformats.org/drawingml/2006/main">
                  <a:graphicData uri="http://schemas.microsoft.com/office/word/2010/wordprocessingShape">
                    <wps:wsp>
                      <wps:cNvSpPr txBox="1"/>
                      <wps:spPr>
                        <a:xfrm>
                          <a:off x="0" y="0"/>
                          <a:ext cx="6381750" cy="356870"/>
                        </a:xfrm>
                        <a:prstGeom prst="rect">
                          <a:avLst/>
                        </a:prstGeom>
                        <a:solidFill>
                          <a:schemeClr val="lt1"/>
                        </a:solidFill>
                        <a:ln w="6350">
                          <a:solidFill>
                            <a:prstClr val="black"/>
                          </a:solidFill>
                        </a:ln>
                      </wps:spPr>
                      <wps:txbx>
                        <w:txbxContent>
                          <w:p w14:paraId="338BC59E" w14:textId="61160015" w:rsidR="00E376B5" w:rsidRPr="0069295A" w:rsidRDefault="00E376B5" w:rsidP="00A34EE1">
                            <w:pPr>
                              <w:spacing w:after="0"/>
                              <w:rPr>
                                <w:rFonts w:ascii="Times" w:eastAsia="Batang" w:hAnsi="Times" w:cs="Times New Roman"/>
                                <w:b/>
                                <w:bCs/>
                                <w:szCs w:val="24"/>
                                <w:lang w:val="en-GB" w:eastAsia="x-none"/>
                              </w:rPr>
                            </w:pPr>
                            <w:r w:rsidRPr="0069295A">
                              <w:rPr>
                                <w:rFonts w:ascii="Times" w:eastAsia="Batang" w:hAnsi="Times" w:cs="Times New Roman"/>
                                <w:b/>
                                <w:bCs/>
                                <w:szCs w:val="24"/>
                                <w:highlight w:val="green"/>
                                <w:lang w:val="en-GB" w:eastAsia="x-none"/>
                              </w:rPr>
                              <w:t>Agreement</w:t>
                            </w:r>
                            <w:r>
                              <w:rPr>
                                <w:rFonts w:ascii="Times" w:eastAsia="Batang" w:hAnsi="Times" w:cs="Times New Roman"/>
                                <w:b/>
                                <w:bCs/>
                                <w:szCs w:val="24"/>
                                <w:lang w:val="en-GB" w:eastAsia="x-none"/>
                              </w:rPr>
                              <w:t xml:space="preserve"> (RAN1#104-e)</w:t>
                            </w:r>
                          </w:p>
                          <w:p w14:paraId="1428FFF7" w14:textId="77777777" w:rsidR="00E376B5" w:rsidRPr="0069295A" w:rsidRDefault="00E376B5" w:rsidP="00A34EE1">
                            <w:pPr>
                              <w:spacing w:after="0"/>
                              <w:rPr>
                                <w:rFonts w:ascii="Times" w:eastAsia="Batang" w:hAnsi="Times" w:cs="Times New Roman"/>
                                <w:szCs w:val="24"/>
                                <w:lang w:val="en-GB" w:eastAsia="x-none"/>
                              </w:rPr>
                            </w:pPr>
                            <w:r w:rsidRPr="0069295A">
                              <w:rPr>
                                <w:rFonts w:ascii="Times" w:eastAsia="Batang" w:hAnsi="Times" w:cs="Times New Roman"/>
                                <w:szCs w:val="24"/>
                                <w:lang w:val="en-GB" w:eastAsia="x-none"/>
                              </w:rPr>
                              <w:t>Non-serving cell information at least includes non-serving cell PCI to support inter-cell multi-DCI multi-TRP operation</w:t>
                            </w:r>
                          </w:p>
                          <w:p w14:paraId="3DA8506D" w14:textId="0DA4FAD8" w:rsidR="00E376B5" w:rsidRPr="00A34EE1" w:rsidRDefault="00E376B5" w:rsidP="00C4412A">
                            <w:pPr>
                              <w:numPr>
                                <w:ilvl w:val="0"/>
                                <w:numId w:val="31"/>
                              </w:numPr>
                              <w:shd w:val="clear" w:color="auto" w:fill="FFFFFF"/>
                              <w:spacing w:after="0"/>
                              <w:contextualSpacing/>
                              <w:rPr>
                                <w:rFonts w:ascii="Times" w:eastAsia="Batang" w:hAnsi="Times" w:cs="Times"/>
                                <w:szCs w:val="20"/>
                                <w:lang w:val="en-GB" w:eastAsia="x-none"/>
                              </w:rPr>
                            </w:pPr>
                            <w:r w:rsidRPr="0069295A">
                              <w:rPr>
                                <w:rFonts w:ascii="Times" w:eastAsia="Batang" w:hAnsi="Times" w:cs="Times"/>
                                <w:szCs w:val="20"/>
                                <w:lang w:val="en-GB" w:eastAsia="x-none"/>
                              </w:rPr>
                              <w:t>FFS: Whether the indication of PCI is implicit or explicit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147242" id="Text Box 3" o:spid="_x0000_s1042" type="#_x0000_t202" style="width:502.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" fillcolor="white [3201]" strokeweight=".5pt">
                <v:textbox style="mso-fit-shape-to-text:t">
                  <w:txbxContent>
                    <w:p w14:paraId="338BC59E" w14:textId="61160015" w:rsidR="00E376B5" w:rsidRPr="0069295A" w:rsidRDefault="00E376B5" w:rsidP="00A34EE1">
                      <w:pPr>
                        <w:spacing w:after="0"/>
                        <w:rPr>
                          <w:rFonts w:ascii="Times" w:eastAsia="Batang" w:hAnsi="Times" w:cs="Times New Roman"/>
                          <w:b/>
                          <w:bCs/>
                          <w:szCs w:val="24"/>
                          <w:lang w:val="en-GB" w:eastAsia="x-none"/>
                        </w:rPr>
                      </w:pPr>
                      <w:r w:rsidRPr="0069295A">
                        <w:rPr>
                          <w:rFonts w:ascii="Times" w:eastAsia="Batang" w:hAnsi="Times" w:cs="Times New Roman"/>
                          <w:b/>
                          <w:bCs/>
                          <w:szCs w:val="24"/>
                          <w:highlight w:val="green"/>
                          <w:lang w:val="en-GB" w:eastAsia="x-none"/>
                        </w:rPr>
                        <w:t>Agreement</w:t>
                      </w:r>
                      <w:r>
                        <w:rPr>
                          <w:rFonts w:ascii="Times" w:eastAsia="Batang" w:hAnsi="Times" w:cs="Times New Roman"/>
                          <w:b/>
                          <w:bCs/>
                          <w:szCs w:val="24"/>
                          <w:lang w:val="en-GB" w:eastAsia="x-none"/>
                        </w:rPr>
                        <w:t xml:space="preserve"> (RAN1#104-e)</w:t>
                      </w:r>
                    </w:p>
                    <w:p w14:paraId="1428FFF7" w14:textId="77777777" w:rsidR="00E376B5" w:rsidRPr="0069295A" w:rsidRDefault="00E376B5" w:rsidP="00A34EE1">
                      <w:pPr>
                        <w:spacing w:after="0"/>
                        <w:rPr>
                          <w:rFonts w:ascii="Times" w:eastAsia="Batang" w:hAnsi="Times" w:cs="Times New Roman"/>
                          <w:szCs w:val="24"/>
                          <w:lang w:val="en-GB" w:eastAsia="x-none"/>
                        </w:rPr>
                      </w:pPr>
                      <w:r w:rsidRPr="0069295A">
                        <w:rPr>
                          <w:rFonts w:ascii="Times" w:eastAsia="Batang" w:hAnsi="Times" w:cs="Times New Roman"/>
                          <w:szCs w:val="24"/>
                          <w:lang w:val="en-GB" w:eastAsia="x-none"/>
                        </w:rPr>
                        <w:t>Non-serving cell information at least includes non-serving cell PCI to support inter-cell multi-DCI multi-TRP operation</w:t>
                      </w:r>
                    </w:p>
                    <w:p w14:paraId="3DA8506D" w14:textId="0DA4FAD8" w:rsidR="00E376B5" w:rsidRPr="00A34EE1" w:rsidRDefault="00E376B5" w:rsidP="00C4412A">
                      <w:pPr>
                        <w:numPr>
                          <w:ilvl w:val="0"/>
                          <w:numId w:val="31"/>
                        </w:numPr>
                        <w:shd w:val="clear" w:color="auto" w:fill="FFFFFF"/>
                        <w:spacing w:after="0"/>
                        <w:contextualSpacing/>
                        <w:rPr>
                          <w:rFonts w:ascii="Times" w:eastAsia="Batang" w:hAnsi="Times" w:cs="Times"/>
                          <w:szCs w:val="20"/>
                          <w:lang w:val="en-GB" w:eastAsia="x-none"/>
                        </w:rPr>
                      </w:pPr>
                      <w:r w:rsidRPr="0069295A">
                        <w:rPr>
                          <w:rFonts w:ascii="Times" w:eastAsia="Batang" w:hAnsi="Times" w:cs="Times"/>
                          <w:szCs w:val="20"/>
                          <w:lang w:val="en-GB" w:eastAsia="x-none"/>
                        </w:rPr>
                        <w:t>FFS: Whether the indication of PCI is implicit or explicit</w:t>
                      </w:r>
                    </w:p>
                  </w:txbxContent>
                </v:textbox>
                <w10:anchorlock/>
              </v:shape>
            </w:pict>
          </mc:Fallback>
        </mc:AlternateContent>
      </w:r>
    </w:p>
    <w:p w14:paraId="3738A9AB" w14:textId="08AA7197" w:rsidR="00A34EE1" w:rsidRPr="00D5149A" w:rsidRDefault="00486E94" w:rsidP="00486E94">
      <w:r w:rsidRPr="00D5149A">
        <w:t xml:space="preserve">Additional non-serving cell information would help the UE to find the SSBs where the non-serving PCI is included. </w:t>
      </w:r>
      <w:r w:rsidR="00A34EE1" w:rsidRPr="00D5149A">
        <w:t>Again, there is a parallel agreement in the inter-cell multi-TRP agenda item:</w:t>
      </w:r>
    </w:p>
    <w:p w14:paraId="0DD45618" w14:textId="2EC0CB3C" w:rsidR="00A34EE1" w:rsidRPr="00D5149A" w:rsidRDefault="00A34EE1" w:rsidP="00486E94">
      <w:pPr>
        <w:rPr>
          <w:lang w:eastAsia="ja-JP"/>
        </w:rPr>
      </w:pPr>
      <w:r w:rsidRPr="00D5149A">
        <w:rPr>
          <w:rFonts w:ascii="Times New Roman" w:hAnsi="Times New Roman" w:cs="Times New Roman"/>
          <w:noProof/>
        </w:rPr>
        <mc:AlternateContent>
          <mc:Choice Requires="wps">
            <w:drawing>
              <wp:inline distT="0" distB="0" distL="0" distR="0" wp14:anchorId="2EC9C36E" wp14:editId="0D5B13ED">
                <wp:extent cx="6381750" cy="356870"/>
                <wp:effectExtent l="0" t="0" r="19050" b="26035"/>
                <wp:docPr id="4" name="Text Box 4"/>
                <wp:cNvGraphicFramePr/>
                <a:graphic xmlns:a="http://schemas.openxmlformats.org/drawingml/2006/main">
                  <a:graphicData uri="http://schemas.microsoft.com/office/word/2010/wordprocessingShape">
                    <wps:wsp>
                      <wps:cNvSpPr txBox="1"/>
                      <wps:spPr>
                        <a:xfrm>
                          <a:off x="0" y="0"/>
                          <a:ext cx="6381750" cy="356870"/>
                        </a:xfrm>
                        <a:prstGeom prst="rect">
                          <a:avLst/>
                        </a:prstGeom>
                        <a:solidFill>
                          <a:schemeClr val="lt1"/>
                        </a:solidFill>
                        <a:ln w="6350">
                          <a:solidFill>
                            <a:prstClr val="black"/>
                          </a:solidFill>
                        </a:ln>
                      </wps:spPr>
                      <wps:txbx>
                        <w:txbxContent>
                          <w:p w14:paraId="0F7FEDC3" w14:textId="77777777" w:rsidR="00E376B5" w:rsidRPr="0069295A" w:rsidRDefault="00E376B5" w:rsidP="00A34EE1">
                            <w:pPr>
                              <w:spacing w:after="0"/>
                              <w:rPr>
                                <w:rFonts w:ascii="Times" w:eastAsia="Batang" w:hAnsi="Times" w:cs="Times New Roman"/>
                                <w:b/>
                                <w:bCs/>
                                <w:szCs w:val="24"/>
                                <w:lang w:val="en-GB" w:eastAsia="x-none"/>
                              </w:rPr>
                            </w:pPr>
                            <w:r w:rsidRPr="0069295A">
                              <w:rPr>
                                <w:rFonts w:ascii="Times" w:eastAsia="Batang" w:hAnsi="Times" w:cs="Times New Roman"/>
                                <w:b/>
                                <w:bCs/>
                                <w:szCs w:val="24"/>
                                <w:highlight w:val="green"/>
                                <w:lang w:val="en-GB" w:eastAsia="x-none"/>
                              </w:rPr>
                              <w:t>Agreement</w:t>
                            </w:r>
                            <w:r>
                              <w:rPr>
                                <w:rFonts w:ascii="Times" w:eastAsia="Batang" w:hAnsi="Times" w:cs="Times New Roman"/>
                                <w:b/>
                                <w:bCs/>
                                <w:szCs w:val="24"/>
                                <w:lang w:val="en-GB" w:eastAsia="x-none"/>
                              </w:rPr>
                              <w:t xml:space="preserve"> (RAN1#104-e)</w:t>
                            </w:r>
                          </w:p>
                          <w:p w14:paraId="1584A290" w14:textId="77777777" w:rsidR="00E376B5" w:rsidRPr="0069295A" w:rsidRDefault="00E376B5" w:rsidP="00A34EE1">
                            <w:pPr>
                              <w:spacing w:after="0"/>
                              <w:rPr>
                                <w:rFonts w:ascii="Times" w:eastAsia="Batang" w:hAnsi="Times" w:cs="Times"/>
                                <w:b/>
                                <w:bCs/>
                                <w:szCs w:val="20"/>
                                <w:lang w:val="en-GB"/>
                              </w:rPr>
                            </w:pPr>
                            <w:r w:rsidRPr="0069295A">
                              <w:rPr>
                                <w:rFonts w:ascii="Times" w:eastAsia="Batang" w:hAnsi="Times" w:cs="Times"/>
                                <w:szCs w:val="20"/>
                                <w:lang w:val="en-GB"/>
                              </w:rPr>
                              <w:t xml:space="preserve">At least following non-serving cell SSB information are needed in inter-cell MTRP operation </w:t>
                            </w:r>
                          </w:p>
                          <w:p w14:paraId="1C5D21B7" w14:textId="77777777" w:rsidR="00E376B5" w:rsidRPr="0069295A" w:rsidRDefault="00E376B5" w:rsidP="00C4412A">
                            <w:pPr>
                              <w:numPr>
                                <w:ilvl w:val="0"/>
                                <w:numId w:val="31"/>
                              </w:numPr>
                              <w:shd w:val="clear" w:color="auto" w:fill="FFFFFF"/>
                              <w:spacing w:after="0"/>
                              <w:contextualSpacing/>
                              <w:rPr>
                                <w:rFonts w:ascii="Times" w:eastAsia="Batang" w:hAnsi="Times" w:cs="Times"/>
                                <w:szCs w:val="20"/>
                                <w:lang w:val="en-GB" w:eastAsia="x-none"/>
                              </w:rPr>
                            </w:pPr>
                            <w:r w:rsidRPr="0069295A">
                              <w:rPr>
                                <w:rFonts w:ascii="Times" w:eastAsia="Batang" w:hAnsi="Times" w:cs="Times New Roman"/>
                                <w:szCs w:val="24"/>
                                <w:lang w:val="en-GB" w:eastAsia="x-none"/>
                              </w:rPr>
                              <w:t>SSB time domain position</w:t>
                            </w:r>
                          </w:p>
                          <w:p w14:paraId="3BE3342F" w14:textId="77777777" w:rsidR="00E376B5" w:rsidRPr="0069295A" w:rsidRDefault="00E376B5" w:rsidP="00C4412A">
                            <w:pPr>
                              <w:numPr>
                                <w:ilvl w:val="0"/>
                                <w:numId w:val="31"/>
                              </w:numPr>
                              <w:shd w:val="clear" w:color="auto" w:fill="FFFFFF"/>
                              <w:spacing w:after="0"/>
                              <w:contextualSpacing/>
                              <w:rPr>
                                <w:rFonts w:ascii="Times" w:eastAsia="Batang" w:hAnsi="Times" w:cs="Times"/>
                                <w:szCs w:val="20"/>
                                <w:lang w:val="en-GB" w:eastAsia="x-none"/>
                              </w:rPr>
                            </w:pPr>
                            <w:r w:rsidRPr="0069295A">
                              <w:rPr>
                                <w:rFonts w:ascii="Times" w:eastAsia="Batang" w:hAnsi="Times" w:cs="Times New Roman"/>
                                <w:szCs w:val="24"/>
                                <w:lang w:val="en-GB" w:eastAsia="x-none"/>
                              </w:rPr>
                              <w:t>SSB transmission periodicity</w:t>
                            </w:r>
                          </w:p>
                          <w:p w14:paraId="1655CC96" w14:textId="77777777" w:rsidR="00E376B5" w:rsidRPr="0069295A" w:rsidRDefault="00E376B5" w:rsidP="00C4412A">
                            <w:pPr>
                              <w:numPr>
                                <w:ilvl w:val="0"/>
                                <w:numId w:val="31"/>
                              </w:numPr>
                              <w:shd w:val="clear" w:color="auto" w:fill="FFFFFF"/>
                              <w:spacing w:after="0"/>
                              <w:contextualSpacing/>
                              <w:rPr>
                                <w:rFonts w:ascii="Times" w:eastAsia="Batang" w:hAnsi="Times" w:cs="Times New Roman"/>
                                <w:szCs w:val="20"/>
                                <w:lang w:val="en-GB" w:eastAsia="x-none"/>
                              </w:rPr>
                            </w:pPr>
                            <w:r w:rsidRPr="0069295A">
                              <w:rPr>
                                <w:rFonts w:ascii="Times" w:eastAsia="Batang" w:hAnsi="Times" w:cs="Times New Roman"/>
                                <w:szCs w:val="24"/>
                                <w:lang w:val="en-GB" w:eastAsia="x-none"/>
                              </w:rPr>
                              <w:t>SSB transmission power</w:t>
                            </w:r>
                          </w:p>
                          <w:p w14:paraId="74966457" w14:textId="77777777" w:rsidR="00E376B5" w:rsidRPr="004F67D7" w:rsidRDefault="00E376B5" w:rsidP="00A34EE1">
                            <w:pPr>
                              <w:spacing w:after="0"/>
                              <w:jc w:val="both"/>
                              <w:textAlignment w:val="baseline"/>
                              <w:rPr>
                                <w:rFonts w:ascii="Times" w:eastAsia="Times New Roman" w:hAnsi="Times" w:cs="Times"/>
                                <w:sz w:val="24"/>
                                <w:szCs w:val="24"/>
                                <w:lang w:eastAsia="zh-CN"/>
                              </w:rPr>
                            </w:pPr>
                            <w:r w:rsidRPr="004F67D7">
                              <w:rPr>
                                <w:rFonts w:ascii="Times" w:eastAsia="Times New Roman" w:hAnsi="Times" w:cs="Times"/>
                                <w:szCs w:val="20"/>
                                <w:lang w:eastAsia="zh-CN"/>
                              </w:rPr>
                              <w:t>FFS: Other non-serving cell information</w:t>
                            </w:r>
                          </w:p>
                          <w:p w14:paraId="045394EB" w14:textId="41A97B0A" w:rsidR="00E376B5" w:rsidRPr="00A34EE1" w:rsidRDefault="00E376B5" w:rsidP="00A34EE1">
                            <w:pPr>
                              <w:spacing w:after="0"/>
                              <w:jc w:val="both"/>
                              <w:textAlignment w:val="baseline"/>
                              <w:rPr>
                                <w:rFonts w:ascii="Times" w:eastAsia="Times New Roman" w:hAnsi="Times" w:cs="Times"/>
                                <w:szCs w:val="20"/>
                                <w:lang w:eastAsia="zh-CN"/>
                              </w:rPr>
                            </w:pPr>
                            <w:r w:rsidRPr="004F67D7">
                              <w:rPr>
                                <w:rFonts w:ascii="Times" w:eastAsia="Times New Roman" w:hAnsi="Times" w:cs="Times"/>
                                <w:szCs w:val="20"/>
                                <w:lang w:eastAsia="zh-CN"/>
                              </w:rPr>
                              <w:t>FFS: Whether indication of these information is implicit or explicit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EC9C36E" id="Text Box 4" o:spid="_x0000_s1043" type="#_x0000_t202" style="width:502.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" fillcolor="white [3201]" strokeweight=".5pt">
                <v:textbox style="mso-fit-shape-to-text:t">
                  <w:txbxContent>
                    <w:p w14:paraId="0F7FEDC3" w14:textId="77777777" w:rsidR="00E376B5" w:rsidRPr="0069295A" w:rsidRDefault="00E376B5" w:rsidP="00A34EE1">
                      <w:pPr>
                        <w:spacing w:after="0"/>
                        <w:rPr>
                          <w:rFonts w:ascii="Times" w:eastAsia="Batang" w:hAnsi="Times" w:cs="Times New Roman"/>
                          <w:b/>
                          <w:bCs/>
                          <w:szCs w:val="24"/>
                          <w:lang w:val="en-GB" w:eastAsia="x-none"/>
                        </w:rPr>
                      </w:pPr>
                      <w:r w:rsidRPr="0069295A">
                        <w:rPr>
                          <w:rFonts w:ascii="Times" w:eastAsia="Batang" w:hAnsi="Times" w:cs="Times New Roman"/>
                          <w:b/>
                          <w:bCs/>
                          <w:szCs w:val="24"/>
                          <w:highlight w:val="green"/>
                          <w:lang w:val="en-GB" w:eastAsia="x-none"/>
                        </w:rPr>
                        <w:t>Agreement</w:t>
                      </w:r>
                      <w:r>
                        <w:rPr>
                          <w:rFonts w:ascii="Times" w:eastAsia="Batang" w:hAnsi="Times" w:cs="Times New Roman"/>
                          <w:b/>
                          <w:bCs/>
                          <w:szCs w:val="24"/>
                          <w:lang w:val="en-GB" w:eastAsia="x-none"/>
                        </w:rPr>
                        <w:t xml:space="preserve"> (RAN1#104-e)</w:t>
                      </w:r>
                    </w:p>
                    <w:p w14:paraId="1584A290" w14:textId="77777777" w:rsidR="00E376B5" w:rsidRPr="0069295A" w:rsidRDefault="00E376B5" w:rsidP="00A34EE1">
                      <w:pPr>
                        <w:spacing w:after="0"/>
                        <w:rPr>
                          <w:rFonts w:ascii="Times" w:eastAsia="Batang" w:hAnsi="Times" w:cs="Times"/>
                          <w:b/>
                          <w:bCs/>
                          <w:szCs w:val="20"/>
                          <w:lang w:val="en-GB"/>
                        </w:rPr>
                      </w:pPr>
                      <w:r w:rsidRPr="0069295A">
                        <w:rPr>
                          <w:rFonts w:ascii="Times" w:eastAsia="Batang" w:hAnsi="Times" w:cs="Times"/>
                          <w:szCs w:val="20"/>
                          <w:lang w:val="en-GB"/>
                        </w:rPr>
                        <w:t xml:space="preserve">At least following non-serving cell SSB information are needed in inter-cell MTRP operation </w:t>
                      </w:r>
                    </w:p>
                    <w:p w14:paraId="1C5D21B7" w14:textId="77777777" w:rsidR="00E376B5" w:rsidRPr="0069295A" w:rsidRDefault="00E376B5" w:rsidP="00C4412A">
                      <w:pPr>
                        <w:numPr>
                          <w:ilvl w:val="0"/>
                          <w:numId w:val="31"/>
                        </w:numPr>
                        <w:shd w:val="clear" w:color="auto" w:fill="FFFFFF"/>
                        <w:spacing w:after="0"/>
                        <w:contextualSpacing/>
                        <w:rPr>
                          <w:rFonts w:ascii="Times" w:eastAsia="Batang" w:hAnsi="Times" w:cs="Times"/>
                          <w:szCs w:val="20"/>
                          <w:lang w:val="en-GB" w:eastAsia="x-none"/>
                        </w:rPr>
                      </w:pPr>
                      <w:r w:rsidRPr="0069295A">
                        <w:rPr>
                          <w:rFonts w:ascii="Times" w:eastAsia="Batang" w:hAnsi="Times" w:cs="Times New Roman"/>
                          <w:szCs w:val="24"/>
                          <w:lang w:val="en-GB" w:eastAsia="x-none"/>
                        </w:rPr>
                        <w:t>SSB time domain position</w:t>
                      </w:r>
                    </w:p>
                    <w:p w14:paraId="3BE3342F" w14:textId="77777777" w:rsidR="00E376B5" w:rsidRPr="0069295A" w:rsidRDefault="00E376B5" w:rsidP="00C4412A">
                      <w:pPr>
                        <w:numPr>
                          <w:ilvl w:val="0"/>
                          <w:numId w:val="31"/>
                        </w:numPr>
                        <w:shd w:val="clear" w:color="auto" w:fill="FFFFFF"/>
                        <w:spacing w:after="0"/>
                        <w:contextualSpacing/>
                        <w:rPr>
                          <w:rFonts w:ascii="Times" w:eastAsia="Batang" w:hAnsi="Times" w:cs="Times"/>
                          <w:szCs w:val="20"/>
                          <w:lang w:val="en-GB" w:eastAsia="x-none"/>
                        </w:rPr>
                      </w:pPr>
                      <w:r w:rsidRPr="0069295A">
                        <w:rPr>
                          <w:rFonts w:ascii="Times" w:eastAsia="Batang" w:hAnsi="Times" w:cs="Times New Roman"/>
                          <w:szCs w:val="24"/>
                          <w:lang w:val="en-GB" w:eastAsia="x-none"/>
                        </w:rPr>
                        <w:t>SSB transmission periodicity</w:t>
                      </w:r>
                    </w:p>
                    <w:p w14:paraId="1655CC96" w14:textId="77777777" w:rsidR="00E376B5" w:rsidRPr="0069295A" w:rsidRDefault="00E376B5" w:rsidP="00C4412A">
                      <w:pPr>
                        <w:numPr>
                          <w:ilvl w:val="0"/>
                          <w:numId w:val="31"/>
                        </w:numPr>
                        <w:shd w:val="clear" w:color="auto" w:fill="FFFFFF"/>
                        <w:spacing w:after="0"/>
                        <w:contextualSpacing/>
                        <w:rPr>
                          <w:rFonts w:ascii="Times" w:eastAsia="Batang" w:hAnsi="Times" w:cs="Times New Roman"/>
                          <w:szCs w:val="20"/>
                          <w:lang w:val="en-GB" w:eastAsia="x-none"/>
                        </w:rPr>
                      </w:pPr>
                      <w:r w:rsidRPr="0069295A">
                        <w:rPr>
                          <w:rFonts w:ascii="Times" w:eastAsia="Batang" w:hAnsi="Times" w:cs="Times New Roman"/>
                          <w:szCs w:val="24"/>
                          <w:lang w:val="en-GB" w:eastAsia="x-none"/>
                        </w:rPr>
                        <w:t>SSB transmission power</w:t>
                      </w:r>
                    </w:p>
                    <w:p w14:paraId="74966457" w14:textId="77777777" w:rsidR="00E376B5" w:rsidRPr="004F67D7" w:rsidRDefault="00E376B5" w:rsidP="00A34EE1">
                      <w:pPr>
                        <w:spacing w:after="0"/>
                        <w:jc w:val="both"/>
                        <w:textAlignment w:val="baseline"/>
                        <w:rPr>
                          <w:rFonts w:ascii="Times" w:eastAsia="Times New Roman" w:hAnsi="Times" w:cs="Times"/>
                          <w:sz w:val="24"/>
                          <w:szCs w:val="24"/>
                          <w:lang w:eastAsia="zh-CN"/>
                        </w:rPr>
                      </w:pPr>
                      <w:r w:rsidRPr="004F67D7">
                        <w:rPr>
                          <w:rFonts w:ascii="Times" w:eastAsia="Times New Roman" w:hAnsi="Times" w:cs="Times"/>
                          <w:szCs w:val="20"/>
                          <w:lang w:eastAsia="zh-CN"/>
                        </w:rPr>
                        <w:t>FFS: Other non-serving cell information</w:t>
                      </w:r>
                    </w:p>
                    <w:p w14:paraId="045394EB" w14:textId="41A97B0A" w:rsidR="00E376B5" w:rsidRPr="00A34EE1" w:rsidRDefault="00E376B5" w:rsidP="00A34EE1">
                      <w:pPr>
                        <w:spacing w:after="0"/>
                        <w:jc w:val="both"/>
                        <w:textAlignment w:val="baseline"/>
                        <w:rPr>
                          <w:rFonts w:ascii="Times" w:eastAsia="Times New Roman" w:hAnsi="Times" w:cs="Times"/>
                          <w:szCs w:val="20"/>
                          <w:lang w:eastAsia="zh-CN"/>
                        </w:rPr>
                      </w:pPr>
                      <w:r w:rsidRPr="004F67D7">
                        <w:rPr>
                          <w:rFonts w:ascii="Times" w:eastAsia="Times New Roman" w:hAnsi="Times" w:cs="Times"/>
                          <w:szCs w:val="20"/>
                          <w:lang w:eastAsia="zh-CN"/>
                        </w:rPr>
                        <w:t>FFS: Whether indication of these information is implicit or explicit</w:t>
                      </w:r>
                    </w:p>
                  </w:txbxContent>
                </v:textbox>
                <w10:anchorlock/>
              </v:shape>
            </w:pict>
          </mc:Fallback>
        </mc:AlternateContent>
      </w:r>
    </w:p>
    <w:p w14:paraId="0B27A1DA" w14:textId="043D66CA" w:rsidR="000E0F2D" w:rsidRDefault="00AF36E3" w:rsidP="000E0F2D">
      <w:pPr>
        <w:pStyle w:val="BodyText"/>
      </w:pPr>
      <w:r>
        <w:t xml:space="preserve">To support beam indication from any cell, and the corresponding PDSCH transmission, it would be advantageous if the UE could automatically rate-match around the SSB transmissions </w:t>
      </w:r>
      <w:r w:rsidR="00163762">
        <w:t>of the cell from where the PDSCH is transmitted. This would require that the UE has knowledge of the SSB time domain positions, and the SSB transmission periodicity. To support UL transmissions to any cell, it would be important for the UE to know the SSB transmission power, so that the UL transmission power can be properly set. Hence, we propose</w:t>
      </w:r>
    </w:p>
    <w:p w14:paraId="429D0968" w14:textId="61B45DC9" w:rsidR="00163762" w:rsidRDefault="00163762" w:rsidP="00163762">
      <w:pPr>
        <w:pStyle w:val="Proposal"/>
      </w:pPr>
      <w:bookmarkStart w:id="40" w:name="_Toc79658947"/>
      <w:r w:rsidRPr="00D5149A">
        <w:lastRenderedPageBreak/>
        <w:t>Non-serving cell information includes</w:t>
      </w:r>
      <w:r>
        <w:t xml:space="preserve"> SSB time domain position, SSB transmission periodicity and SSB transmission power.</w:t>
      </w:r>
      <w:bookmarkEnd w:id="40"/>
    </w:p>
    <w:p w14:paraId="1D56E8B6" w14:textId="13DE2FE5" w:rsidR="005E47A6" w:rsidRPr="00291575" w:rsidRDefault="005E47A6" w:rsidP="005E47A6">
      <w:pPr>
        <w:pStyle w:val="Heading3"/>
      </w:pPr>
      <w:r>
        <w:t>2.2.2</w:t>
      </w:r>
      <w:r>
        <w:tab/>
        <w:t xml:space="preserve">Issues related to </w:t>
      </w:r>
      <w:r w:rsidR="00022B78">
        <w:t>timing</w:t>
      </w:r>
    </w:p>
    <w:p w14:paraId="5A76DF07" w14:textId="291B9ACC" w:rsidR="005E47A6" w:rsidRDefault="005E47A6" w:rsidP="005E47A6">
      <w:pPr>
        <w:pStyle w:val="BodyText"/>
      </w:pPr>
      <w:r>
        <w:t xml:space="preserve">During RAN#92, there was some discussion on </w:t>
      </w:r>
      <w:r w:rsidR="00145959">
        <w:t xml:space="preserve">synchronization and timing advance related to inter-cell beam management. The same issue has been discussed also for inter-cell mTRP, where it has been concluded that for Rel-17, the assumption is that the PDSCH receptions from the different TRPs are all received within the CP. This simplifies the UE receiver, </w:t>
      </w:r>
      <w:r w:rsidR="00022B78">
        <w:t>since one Rx chain is enough. I</w:t>
      </w:r>
      <w:r w:rsidR="00145959">
        <w:t>t also means that the same TA can be used towards the TRPs.</w:t>
      </w:r>
    </w:p>
    <w:p w14:paraId="2E35E021" w14:textId="70377278" w:rsidR="00145959" w:rsidRDefault="00145959" w:rsidP="005E47A6">
      <w:pPr>
        <w:pStyle w:val="BodyText"/>
      </w:pPr>
      <w:r>
        <w:t xml:space="preserve">The question is if the same assumption should be made for inter-cell beam management. In contrast to mTRP however, the UE is only receiving </w:t>
      </w:r>
      <w:r w:rsidR="00022B78">
        <w:t xml:space="preserve">PDSCH </w:t>
      </w:r>
      <w:r>
        <w:t xml:space="preserve">from </w:t>
      </w:r>
      <w:r w:rsidR="00022B78">
        <w:t>one TRP at a time, and only one Rx chain is needed, irrespective of the time-of-arrival of the PDSCH. Hence, there is no need to require that all DL signals are received within the CP:</w:t>
      </w:r>
    </w:p>
    <w:p w14:paraId="1A2F5D7B" w14:textId="14F71D19" w:rsidR="00022B78" w:rsidRDefault="00022B78" w:rsidP="00022B78">
      <w:pPr>
        <w:pStyle w:val="Proposal"/>
      </w:pPr>
      <w:bookmarkStart w:id="41" w:name="_Toc79658948"/>
      <w:r>
        <w:t>For inter-cell beam management, the signals from the different TRPs are not required to arrive within the CP.</w:t>
      </w:r>
      <w:bookmarkEnd w:id="41"/>
    </w:p>
    <w:p w14:paraId="67240EE3" w14:textId="6FF972FA" w:rsidR="00022B78" w:rsidRDefault="00022B78" w:rsidP="00022B78">
      <w:pPr>
        <w:pStyle w:val="BodyText"/>
      </w:pPr>
      <w:r>
        <w:t>Since the UE is only required to transmit to one TRP at a time, there is no need for the UE to maintain multiple TA values. The UE will then not be able to rapidly switch between the TRPs – but there is no need to do that either.</w:t>
      </w:r>
    </w:p>
    <w:p w14:paraId="4FBCC633" w14:textId="4303F39C" w:rsidR="00022B78" w:rsidRDefault="00022B78" w:rsidP="00022B78">
      <w:pPr>
        <w:pStyle w:val="Proposal"/>
      </w:pPr>
      <w:bookmarkStart w:id="42" w:name="_Toc79658949"/>
      <w:r>
        <w:t>For inter-cell beam management, the UE only maintains a single TA value.</w:t>
      </w:r>
      <w:bookmarkEnd w:id="42"/>
    </w:p>
    <w:p w14:paraId="09A5857C" w14:textId="0CDA25B6" w:rsidR="00022B78" w:rsidRDefault="00022B78" w:rsidP="00022B78">
      <w:pPr>
        <w:pStyle w:val="BodyText"/>
      </w:pPr>
      <w:r>
        <w:t xml:space="preserve">Note that when the UE switches from one TRP to another, there may be a need to update the TA. The NW can achieve this using legacy mechanisms, i.e., to transmit a PDCCH order from the new TRP to trigger a PRACH transmission. </w:t>
      </w:r>
      <w:r w:rsidR="006931BD">
        <w:t xml:space="preserve">There </w:t>
      </w:r>
      <w:r>
        <w:t>is thus no need to introduce a new signaling mechanism. However, there is an incomplete feature in the RAN4 specification that would be quite valuable in this context</w:t>
      </w:r>
      <w:r w:rsidR="006931BD">
        <w:t xml:space="preserve">: the one-shot timing adjustment. With one-shot timing adjustment, the UE would under some circumstances perform a larger adjustment of its transmission timing. This procedure is described in more detail in </w:t>
      </w:r>
      <w:r w:rsidR="006931BD" w:rsidRPr="00D179B8">
        <w:t>section 2.5.2.2.</w:t>
      </w:r>
    </w:p>
    <w:p w14:paraId="5F59DEF4" w14:textId="1283844B" w:rsidR="00D777D8" w:rsidRPr="006E2221" w:rsidRDefault="00D777D8" w:rsidP="00D777D8">
      <w:pPr>
        <w:pStyle w:val="Heading2"/>
      </w:pPr>
      <w:r w:rsidRPr="006E2221">
        <w:t>2.3</w:t>
      </w:r>
      <w:r w:rsidRPr="006E2221">
        <w:tab/>
        <w:t>Additional details on the TCI signalling mechanism design</w:t>
      </w:r>
    </w:p>
    <w:p w14:paraId="50E430FA" w14:textId="16EAB1C2" w:rsidR="008F7F8B" w:rsidRDefault="002B690D" w:rsidP="004838BA">
      <w:pPr>
        <w:pStyle w:val="BodyText"/>
      </w:pPr>
      <w:r>
        <w:t>The signaling mechanism for common beam operation are mostly agreed, after the following RAN1#105-e agreement</w:t>
      </w:r>
      <w:r w:rsidR="008F7F8B">
        <w:t>:</w:t>
      </w:r>
    </w:p>
    <w:p w14:paraId="7FE1238E" w14:textId="44B223F6" w:rsidR="005013B4" w:rsidRDefault="005013B4" w:rsidP="000E0F2D">
      <w:pPr>
        <w:pStyle w:val="BodyText"/>
      </w:pPr>
      <w:r>
        <w:rPr>
          <w:noProof/>
        </w:rPr>
        <mc:AlternateContent>
          <mc:Choice Requires="wps">
            <w:drawing>
              <wp:inline distT="0" distB="0" distL="0" distR="0" wp14:anchorId="7B1DF2B9" wp14:editId="46F59207">
                <wp:extent cx="6146359" cy="771276"/>
                <wp:effectExtent l="0" t="0" r="26035" b="24765"/>
                <wp:docPr id="46" name="Text Box 46"/>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6FD9963C" w14:textId="77777777" w:rsidR="00E376B5" w:rsidRPr="007A4B66" w:rsidRDefault="00E376B5" w:rsidP="002B690D">
                            <w:pPr>
                              <w:snapToGrid w:val="0"/>
                              <w:jc w:val="both"/>
                              <w:rPr>
                                <w:rFonts w:ascii="Times New Roman" w:hAnsi="Times New Roman" w:cs="Times New Roman"/>
                                <w:szCs w:val="20"/>
                                <w:highlight w:val="green"/>
                              </w:rPr>
                            </w:pPr>
                            <w:r w:rsidRPr="007A4B66">
                              <w:rPr>
                                <w:rFonts w:ascii="Times New Roman" w:hAnsi="Times New Roman" w:cs="Times New Roman"/>
                                <w:b/>
                                <w:szCs w:val="20"/>
                                <w:highlight w:val="green"/>
                              </w:rPr>
                              <w:t>Agreement</w:t>
                            </w:r>
                          </w:p>
                          <w:p w14:paraId="09657269" w14:textId="77777777" w:rsidR="00E376B5" w:rsidRPr="007A4B66" w:rsidRDefault="00E376B5" w:rsidP="002B690D">
                            <w:pPr>
                              <w:snapToGrid w:val="0"/>
                              <w:jc w:val="both"/>
                              <w:rPr>
                                <w:rFonts w:ascii="Times New Roman" w:hAnsi="Times New Roman" w:cs="Times New Roman"/>
                                <w:szCs w:val="20"/>
                              </w:rPr>
                            </w:pPr>
                            <w:r w:rsidRPr="007A4B66">
                              <w:rPr>
                                <w:rFonts w:ascii="Times New Roman" w:hAnsi="Times New Roman" w:cs="Times New Roman"/>
                                <w:szCs w:val="20"/>
                              </w:rPr>
                              <w:t xml:space="preserve">On Rel-17 DCI-based beam indication, </w:t>
                            </w:r>
                            <w:r w:rsidRPr="007A4B66">
                              <w:rPr>
                                <w:rFonts w:ascii="Times New Roman" w:hAnsi="Times New Roman" w:cs="Times New Roman"/>
                                <w:szCs w:val="20"/>
                                <w:lang w:eastAsia="zh-CN"/>
                              </w:rPr>
                              <w:t>regarding application time of the beam indication, the first slot that is at least X ms or Y symbols after the last symbol of the acknowledgment of the joint or separate DL/UL beam indication.</w:t>
                            </w:r>
                          </w:p>
                          <w:p w14:paraId="13E2EE4E" w14:textId="77777777" w:rsidR="00E376B5" w:rsidRPr="007A4B66" w:rsidRDefault="00E376B5" w:rsidP="00C4412A">
                            <w:pPr>
                              <w:pStyle w:val="ListParagraph"/>
                              <w:numPr>
                                <w:ilvl w:val="0"/>
                                <w:numId w:val="22"/>
                              </w:numPr>
                              <w:snapToGrid w:val="0"/>
                              <w:spacing w:line="240" w:lineRule="auto"/>
                              <w:jc w:val="both"/>
                              <w:rPr>
                                <w:rFonts w:ascii="Times New Roman" w:hAnsi="Times New Roman" w:cs="Times New Roman"/>
                                <w:b/>
                                <w:sz w:val="20"/>
                                <w:szCs w:val="20"/>
                                <w:u w:val="single"/>
                              </w:rPr>
                            </w:pPr>
                            <w:r w:rsidRPr="007A4B66">
                              <w:rPr>
                                <w:rFonts w:ascii="Times New Roman" w:hAnsi="Times New Roman" w:cs="Times New Roman"/>
                                <w:sz w:val="20"/>
                                <w:szCs w:val="20"/>
                              </w:rPr>
                              <w:t>Note: The gap between the last symbol of the beam indication DCI and that first slot shall satisfy the UE capability</w:t>
                            </w:r>
                          </w:p>
                          <w:p w14:paraId="03DCD6BE" w14:textId="77777777" w:rsidR="00E376B5" w:rsidRPr="007A4B66" w:rsidRDefault="00E376B5" w:rsidP="00C4412A">
                            <w:pPr>
                              <w:pStyle w:val="ListParagraph"/>
                              <w:numPr>
                                <w:ilvl w:val="0"/>
                                <w:numId w:val="22"/>
                              </w:numPr>
                              <w:snapToGrid w:val="0"/>
                              <w:spacing w:line="240" w:lineRule="auto"/>
                              <w:jc w:val="both"/>
                              <w:rPr>
                                <w:rFonts w:ascii="Times New Roman" w:hAnsi="Times New Roman" w:cs="Times New Roman"/>
                                <w:b/>
                                <w:sz w:val="20"/>
                                <w:szCs w:val="20"/>
                                <w:u w:val="single"/>
                              </w:rPr>
                            </w:pPr>
                            <w:r w:rsidRPr="007A4B66">
                              <w:rPr>
                                <w:rFonts w:ascii="Times New Roman" w:hAnsi="Times New Roman" w:cs="Times New Roman"/>
                                <w:bCs/>
                                <w:sz w:val="20"/>
                                <w:szCs w:val="20"/>
                                <w:lang w:eastAsia="zh-CN"/>
                              </w:rPr>
                              <w:t xml:space="preserve">FFS: </w:t>
                            </w:r>
                            <w:r w:rsidRPr="007A4B66">
                              <w:rPr>
                                <w:rFonts w:ascii="Times New Roman" w:hAnsi="Times New Roman" w:cs="Times New Roman"/>
                                <w:sz w:val="20"/>
                                <w:szCs w:val="20"/>
                                <w:lang w:eastAsia="zh-CN"/>
                              </w:rPr>
                              <w:t xml:space="preserve">Application time and </w:t>
                            </w:r>
                            <w:r w:rsidRPr="007A4B66">
                              <w:rPr>
                                <w:rFonts w:ascii="Times New Roman" w:hAnsi="Times New Roman" w:cs="Times New Roman"/>
                                <w:bCs/>
                                <w:sz w:val="20"/>
                                <w:szCs w:val="20"/>
                                <w:lang w:eastAsia="zh-CN"/>
                              </w:rPr>
                              <w:t xml:space="preserve">whether additional offset is needed for the application time in case of cross carrier beam indication and </w:t>
                            </w:r>
                            <w:r w:rsidRPr="007A4B66">
                              <w:rPr>
                                <w:rFonts w:ascii="Times New Roman" w:hAnsi="Times New Roman" w:cs="Times New Roman"/>
                                <w:sz w:val="20"/>
                                <w:szCs w:val="20"/>
                                <w:lang w:eastAsia="zh-CN"/>
                              </w:rPr>
                              <w:t>common TCI state ID update across a set of configured CCs if CCs have different SCSs</w:t>
                            </w:r>
                            <w:r w:rsidRPr="007A4B66" w:rsidDel="00F356C9">
                              <w:rPr>
                                <w:rFonts w:ascii="Times New Roman" w:hAnsi="Times New Roman" w:cs="Times New Roman"/>
                                <w:bCs/>
                                <w:sz w:val="20"/>
                                <w:szCs w:val="20"/>
                                <w:lang w:eastAsia="zh-CN"/>
                              </w:rPr>
                              <w:t xml:space="preserve"> </w:t>
                            </w:r>
                          </w:p>
                          <w:p w14:paraId="4A26F789" w14:textId="77777777" w:rsidR="00E376B5" w:rsidRPr="007A4B66" w:rsidRDefault="00E376B5" w:rsidP="00C4412A">
                            <w:pPr>
                              <w:pStyle w:val="ListParagraph"/>
                              <w:numPr>
                                <w:ilvl w:val="0"/>
                                <w:numId w:val="22"/>
                              </w:numPr>
                              <w:snapToGrid w:val="0"/>
                              <w:spacing w:line="240" w:lineRule="auto"/>
                              <w:jc w:val="both"/>
                              <w:rPr>
                                <w:rFonts w:ascii="Times New Roman" w:hAnsi="Times New Roman" w:cs="Times New Roman"/>
                                <w:b/>
                                <w:sz w:val="20"/>
                                <w:szCs w:val="20"/>
                                <w:u w:val="single"/>
                              </w:rPr>
                            </w:pPr>
                            <w:r w:rsidRPr="007A4B66">
                              <w:rPr>
                                <w:rFonts w:ascii="Times New Roman" w:hAnsi="Times New Roman" w:cs="Times New Roman"/>
                                <w:bCs/>
                                <w:sz w:val="20"/>
                                <w:szCs w:val="20"/>
                                <w:lang w:eastAsia="zh-CN"/>
                              </w:rPr>
                              <w:t>FFS: Whether inter-cell beam switching needs higher X/Y values than intra-cell</w:t>
                            </w:r>
                          </w:p>
                          <w:p w14:paraId="1101748E" w14:textId="3E2A427C" w:rsidR="00E376B5" w:rsidRPr="002B690D" w:rsidRDefault="00E376B5" w:rsidP="00C4412A">
                            <w:pPr>
                              <w:pStyle w:val="ListParagraph"/>
                              <w:numPr>
                                <w:ilvl w:val="0"/>
                                <w:numId w:val="22"/>
                              </w:numPr>
                              <w:snapToGrid w:val="0"/>
                              <w:spacing w:line="240" w:lineRule="auto"/>
                              <w:jc w:val="both"/>
                              <w:rPr>
                                <w:rFonts w:ascii="Times New Roman" w:hAnsi="Times New Roman" w:cs="Times New Roman"/>
                                <w:b/>
                                <w:sz w:val="20"/>
                                <w:szCs w:val="20"/>
                                <w:u w:val="single"/>
                              </w:rPr>
                            </w:pPr>
                            <w:r w:rsidRPr="007A4B66">
                              <w:rPr>
                                <w:rFonts w:ascii="Times New Roman" w:hAnsi="Times New Roman" w:cs="Times New Roman"/>
                                <w:bCs/>
                                <w:sz w:val="20"/>
                                <w:szCs w:val="20"/>
                                <w:lang w:eastAsia="zh-CN"/>
                              </w:rPr>
                              <w:t>FFS: Whether application time can be indicated/determined dynamically for different scenarios, e.g. cross CC, inter-cell, inter-panel without reverting previous RAN1 agreements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B1DF2B9" id="Text Box 46" o:spid="_x0000_s1044"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NUHrb5QAgAAqwQAAA4AAAAAAAAAAAAAAAAALgIAAGRycy9lMm9Eb2MueG1sUEsBAi0AFAAGAAgA&#10;AAAhACIEwubcAAAABQEAAA8AAAAAAAAAAAAAAAAAqgQAAGRycy9kb3ducmV2LnhtbFBLBQYAAAAA&#10;BAAEAPMAAACzBQAAAAA=&#10;" fillcolor="white [3201]" strokeweight=".5pt">
                <v:textbox style="mso-fit-shape-to-text:t">
                  <w:txbxContent>
                    <w:p w14:paraId="6FD9963C" w14:textId="77777777" w:rsidR="00E376B5" w:rsidRPr="007A4B66" w:rsidRDefault="00E376B5" w:rsidP="002B690D">
                      <w:pPr>
                        <w:snapToGrid w:val="0"/>
                        <w:jc w:val="both"/>
                        <w:rPr>
                          <w:rFonts w:ascii="Times New Roman" w:hAnsi="Times New Roman" w:cs="Times New Roman"/>
                          <w:szCs w:val="20"/>
                          <w:highlight w:val="green"/>
                        </w:rPr>
                      </w:pPr>
                      <w:r w:rsidRPr="007A4B66">
                        <w:rPr>
                          <w:rFonts w:ascii="Times New Roman" w:hAnsi="Times New Roman" w:cs="Times New Roman"/>
                          <w:b/>
                          <w:szCs w:val="20"/>
                          <w:highlight w:val="green"/>
                        </w:rPr>
                        <w:t>Agreement</w:t>
                      </w:r>
                    </w:p>
                    <w:p w14:paraId="09657269" w14:textId="77777777" w:rsidR="00E376B5" w:rsidRPr="007A4B66" w:rsidRDefault="00E376B5" w:rsidP="002B690D">
                      <w:pPr>
                        <w:snapToGrid w:val="0"/>
                        <w:jc w:val="both"/>
                        <w:rPr>
                          <w:rFonts w:ascii="Times New Roman" w:hAnsi="Times New Roman" w:cs="Times New Roman"/>
                          <w:szCs w:val="20"/>
                        </w:rPr>
                      </w:pPr>
                      <w:r w:rsidRPr="007A4B66">
                        <w:rPr>
                          <w:rFonts w:ascii="Times New Roman" w:hAnsi="Times New Roman" w:cs="Times New Roman"/>
                          <w:szCs w:val="20"/>
                        </w:rPr>
                        <w:t xml:space="preserve">On Rel-17 DCI-based beam indication, </w:t>
                      </w:r>
                      <w:r w:rsidRPr="007A4B66">
                        <w:rPr>
                          <w:rFonts w:ascii="Times New Roman" w:hAnsi="Times New Roman" w:cs="Times New Roman"/>
                          <w:szCs w:val="20"/>
                          <w:lang w:eastAsia="zh-CN"/>
                        </w:rPr>
                        <w:t>regarding application time of the beam indication, the first slot that is at least X ms or Y symbols after the last symbol of the acknowledgment of the joint or separate DL/UL beam indication.</w:t>
                      </w:r>
                    </w:p>
                    <w:p w14:paraId="13E2EE4E" w14:textId="77777777" w:rsidR="00E376B5" w:rsidRPr="007A4B66" w:rsidRDefault="00E376B5" w:rsidP="00C4412A">
                      <w:pPr>
                        <w:pStyle w:val="ListParagraph"/>
                        <w:numPr>
                          <w:ilvl w:val="0"/>
                          <w:numId w:val="22"/>
                        </w:numPr>
                        <w:snapToGrid w:val="0"/>
                        <w:spacing w:line="240" w:lineRule="auto"/>
                        <w:jc w:val="both"/>
                        <w:rPr>
                          <w:rFonts w:ascii="Times New Roman" w:hAnsi="Times New Roman" w:cs="Times New Roman"/>
                          <w:b/>
                          <w:sz w:val="20"/>
                          <w:szCs w:val="20"/>
                          <w:u w:val="single"/>
                        </w:rPr>
                      </w:pPr>
                      <w:r w:rsidRPr="007A4B66">
                        <w:rPr>
                          <w:rFonts w:ascii="Times New Roman" w:hAnsi="Times New Roman" w:cs="Times New Roman"/>
                          <w:sz w:val="20"/>
                          <w:szCs w:val="20"/>
                        </w:rPr>
                        <w:t>Note: The gap between the last symbol of the beam indication DCI and that first slot shall satisfy the UE capability</w:t>
                      </w:r>
                    </w:p>
                    <w:p w14:paraId="03DCD6BE" w14:textId="77777777" w:rsidR="00E376B5" w:rsidRPr="007A4B66" w:rsidRDefault="00E376B5" w:rsidP="00C4412A">
                      <w:pPr>
                        <w:pStyle w:val="ListParagraph"/>
                        <w:numPr>
                          <w:ilvl w:val="0"/>
                          <w:numId w:val="22"/>
                        </w:numPr>
                        <w:snapToGrid w:val="0"/>
                        <w:spacing w:line="240" w:lineRule="auto"/>
                        <w:jc w:val="both"/>
                        <w:rPr>
                          <w:rFonts w:ascii="Times New Roman" w:hAnsi="Times New Roman" w:cs="Times New Roman"/>
                          <w:b/>
                          <w:sz w:val="20"/>
                          <w:szCs w:val="20"/>
                          <w:u w:val="single"/>
                        </w:rPr>
                      </w:pPr>
                      <w:r w:rsidRPr="007A4B66">
                        <w:rPr>
                          <w:rFonts w:ascii="Times New Roman" w:hAnsi="Times New Roman" w:cs="Times New Roman"/>
                          <w:bCs/>
                          <w:sz w:val="20"/>
                          <w:szCs w:val="20"/>
                          <w:lang w:eastAsia="zh-CN"/>
                        </w:rPr>
                        <w:t xml:space="preserve">FFS: </w:t>
                      </w:r>
                      <w:r w:rsidRPr="007A4B66">
                        <w:rPr>
                          <w:rFonts w:ascii="Times New Roman" w:hAnsi="Times New Roman" w:cs="Times New Roman"/>
                          <w:sz w:val="20"/>
                          <w:szCs w:val="20"/>
                          <w:lang w:eastAsia="zh-CN"/>
                        </w:rPr>
                        <w:t xml:space="preserve">Application time and </w:t>
                      </w:r>
                      <w:r w:rsidRPr="007A4B66">
                        <w:rPr>
                          <w:rFonts w:ascii="Times New Roman" w:hAnsi="Times New Roman" w:cs="Times New Roman"/>
                          <w:bCs/>
                          <w:sz w:val="20"/>
                          <w:szCs w:val="20"/>
                          <w:lang w:eastAsia="zh-CN"/>
                        </w:rPr>
                        <w:t xml:space="preserve">whether additional offset is needed for the application time in case of cross carrier beam indication and </w:t>
                      </w:r>
                      <w:r w:rsidRPr="007A4B66">
                        <w:rPr>
                          <w:rFonts w:ascii="Times New Roman" w:hAnsi="Times New Roman" w:cs="Times New Roman"/>
                          <w:sz w:val="20"/>
                          <w:szCs w:val="20"/>
                          <w:lang w:eastAsia="zh-CN"/>
                        </w:rPr>
                        <w:t>common TCI state ID update across a set of configured CCs if CCs have different SCSs</w:t>
                      </w:r>
                      <w:r w:rsidRPr="007A4B66" w:rsidDel="00F356C9">
                        <w:rPr>
                          <w:rFonts w:ascii="Times New Roman" w:hAnsi="Times New Roman" w:cs="Times New Roman"/>
                          <w:bCs/>
                          <w:sz w:val="20"/>
                          <w:szCs w:val="20"/>
                          <w:lang w:eastAsia="zh-CN"/>
                        </w:rPr>
                        <w:t xml:space="preserve"> </w:t>
                      </w:r>
                    </w:p>
                    <w:p w14:paraId="4A26F789" w14:textId="77777777" w:rsidR="00E376B5" w:rsidRPr="007A4B66" w:rsidRDefault="00E376B5" w:rsidP="00C4412A">
                      <w:pPr>
                        <w:pStyle w:val="ListParagraph"/>
                        <w:numPr>
                          <w:ilvl w:val="0"/>
                          <w:numId w:val="22"/>
                        </w:numPr>
                        <w:snapToGrid w:val="0"/>
                        <w:spacing w:line="240" w:lineRule="auto"/>
                        <w:jc w:val="both"/>
                        <w:rPr>
                          <w:rFonts w:ascii="Times New Roman" w:hAnsi="Times New Roman" w:cs="Times New Roman"/>
                          <w:b/>
                          <w:sz w:val="20"/>
                          <w:szCs w:val="20"/>
                          <w:u w:val="single"/>
                        </w:rPr>
                      </w:pPr>
                      <w:r w:rsidRPr="007A4B66">
                        <w:rPr>
                          <w:rFonts w:ascii="Times New Roman" w:hAnsi="Times New Roman" w:cs="Times New Roman"/>
                          <w:bCs/>
                          <w:sz w:val="20"/>
                          <w:szCs w:val="20"/>
                          <w:lang w:eastAsia="zh-CN"/>
                        </w:rPr>
                        <w:t>FFS: Whether inter-cell beam switching needs higher X/Y values than intra-cell</w:t>
                      </w:r>
                    </w:p>
                    <w:p w14:paraId="1101748E" w14:textId="3E2A427C" w:rsidR="00E376B5" w:rsidRPr="002B690D" w:rsidRDefault="00E376B5" w:rsidP="00C4412A">
                      <w:pPr>
                        <w:pStyle w:val="ListParagraph"/>
                        <w:numPr>
                          <w:ilvl w:val="0"/>
                          <w:numId w:val="22"/>
                        </w:numPr>
                        <w:snapToGrid w:val="0"/>
                        <w:spacing w:line="240" w:lineRule="auto"/>
                        <w:jc w:val="both"/>
                        <w:rPr>
                          <w:rFonts w:ascii="Times New Roman" w:hAnsi="Times New Roman" w:cs="Times New Roman"/>
                          <w:b/>
                          <w:sz w:val="20"/>
                          <w:szCs w:val="20"/>
                          <w:u w:val="single"/>
                        </w:rPr>
                      </w:pPr>
                      <w:r w:rsidRPr="007A4B66">
                        <w:rPr>
                          <w:rFonts w:ascii="Times New Roman" w:hAnsi="Times New Roman" w:cs="Times New Roman"/>
                          <w:bCs/>
                          <w:sz w:val="20"/>
                          <w:szCs w:val="20"/>
                          <w:lang w:eastAsia="zh-CN"/>
                        </w:rPr>
                        <w:t>FFS: Whether application time can be indicated/determined dynamically for different scenarios, e.g. cross CC, inter-cell, inter-panel without reverting previous RAN1 agreements</w:t>
                      </w:r>
                    </w:p>
                  </w:txbxContent>
                </v:textbox>
                <w10:anchorlock/>
              </v:shape>
            </w:pict>
          </mc:Fallback>
        </mc:AlternateContent>
      </w:r>
    </w:p>
    <w:p w14:paraId="011A6EF6" w14:textId="50078D0B" w:rsidR="002B690D" w:rsidRDefault="002B690D" w:rsidP="000E0F2D">
      <w:pPr>
        <w:pStyle w:val="BodyText"/>
      </w:pPr>
      <w:r>
        <w:t>This agreement still contains a few FFS. The first one is related to if the beam application time (and hence the related UE feature) is</w:t>
      </w:r>
      <w:r w:rsidR="00D55E66">
        <w:t xml:space="preserve"> given</w:t>
      </w:r>
      <w:r>
        <w:t xml:space="preserve"> in </w:t>
      </w:r>
      <w:r w:rsidR="00D55E66">
        <w:t>ms or in symbols. Since we are targeting fast switching it would seem natural to use symbols rather than ms:</w:t>
      </w:r>
    </w:p>
    <w:p w14:paraId="4CBAD17C" w14:textId="7B3941DD" w:rsidR="00D55E66" w:rsidRDefault="00C46CBC" w:rsidP="00D55E66">
      <w:pPr>
        <w:pStyle w:val="Proposal"/>
      </w:pPr>
      <w:bookmarkStart w:id="43" w:name="_Toc79658950"/>
      <w:r>
        <w:t>The beam application time and the related UE capability is given in symbols.</w:t>
      </w:r>
      <w:bookmarkEnd w:id="43"/>
    </w:p>
    <w:p w14:paraId="7F7539AF" w14:textId="77777777" w:rsidR="00EE787F" w:rsidRDefault="00C46CBC" w:rsidP="00C46CBC">
      <w:pPr>
        <w:pStyle w:val="BodyText"/>
      </w:pPr>
      <w:r>
        <w:t xml:space="preserve">The next FFS is related to inter-cell beam management. We note that there is an ongoing discussion if </w:t>
      </w:r>
      <w:r w:rsidR="00EE787F">
        <w:t>TCI states associated with different cells can be simultaneously activated. If not, the FFS regarding different beam application time for inter-cell beam management is a non-issue.</w:t>
      </w:r>
    </w:p>
    <w:p w14:paraId="610A4806" w14:textId="4B229942" w:rsidR="00C46CBC" w:rsidRDefault="00EE787F" w:rsidP="00C46CBC">
      <w:pPr>
        <w:pStyle w:val="BodyText"/>
      </w:pPr>
      <w:r>
        <w:t>Finally, there is an FFS on dynamic determination of the beam application time. The complications of such an approach do not seem to motivate the potential gains.</w:t>
      </w:r>
      <w:r w:rsidR="00C46CBC">
        <w:t xml:space="preserve"> </w:t>
      </w:r>
    </w:p>
    <w:p w14:paraId="2DD3475C" w14:textId="3A8B02BA" w:rsidR="00D777D8" w:rsidRDefault="00D777D8" w:rsidP="00D777D8">
      <w:pPr>
        <w:pStyle w:val="Heading2"/>
      </w:pPr>
      <w:r>
        <w:lastRenderedPageBreak/>
        <w:t>2.4</w:t>
      </w:r>
      <w:r>
        <w:tab/>
      </w:r>
      <w:r w:rsidR="000C55C5">
        <w:t>F</w:t>
      </w:r>
      <w:r>
        <w:t>ast UL panel switching</w:t>
      </w:r>
      <w:r w:rsidRPr="006C42B1">
        <w:t xml:space="preserve"> </w:t>
      </w:r>
      <w:r w:rsidR="000C55C5">
        <w:t xml:space="preserve">and MPE mitigation </w:t>
      </w:r>
    </w:p>
    <w:p w14:paraId="1A7ACF21" w14:textId="042DF38F" w:rsidR="000C55C5" w:rsidRPr="00511B59" w:rsidRDefault="000C55C5" w:rsidP="000C55C5">
      <w:pPr>
        <w:pStyle w:val="Heading3"/>
      </w:pPr>
      <w:r w:rsidRPr="00511B59">
        <w:t>2.4.1</w:t>
      </w:r>
      <w:r w:rsidRPr="00511B59">
        <w:tab/>
        <w:t>Fast UL panel switching</w:t>
      </w:r>
    </w:p>
    <w:p w14:paraId="2D14A239" w14:textId="37053482" w:rsidR="002607D0" w:rsidRPr="00511B59" w:rsidRDefault="0091111E" w:rsidP="000E0F2D">
      <w:pPr>
        <w:pStyle w:val="BodyText"/>
        <w:rPr>
          <w:lang w:val="en-GB"/>
        </w:rPr>
      </w:pPr>
      <w:r w:rsidRPr="00511B59">
        <w:rPr>
          <w:lang w:val="en-GB"/>
        </w:rPr>
        <w:t>In RAN1#104bis-e, the following was agreed:</w:t>
      </w:r>
    </w:p>
    <w:p w14:paraId="52498EF6" w14:textId="5D7567C2" w:rsidR="004E3493" w:rsidRPr="00511B59" w:rsidRDefault="00631D64" w:rsidP="000E0F2D">
      <w:pPr>
        <w:pStyle w:val="BodyText"/>
      </w:pPr>
      <w:r w:rsidRPr="00511B59">
        <w:rPr>
          <w:noProof/>
        </w:rPr>
        <mc:AlternateContent>
          <mc:Choice Requires="wps">
            <w:drawing>
              <wp:inline distT="0" distB="0" distL="0" distR="0" wp14:anchorId="3007BB0E" wp14:editId="339FC2E8">
                <wp:extent cx="6146359" cy="771276"/>
                <wp:effectExtent l="0" t="0" r="26035" b="24765"/>
                <wp:docPr id="51" name="Text Box 51"/>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462A2AAB" w14:textId="4773D815" w:rsidR="00E376B5" w:rsidRPr="00816B93" w:rsidRDefault="00E376B5" w:rsidP="0091111E">
                            <w:pPr>
                              <w:wordWrap w:val="0"/>
                              <w:rPr>
                                <w:rFonts w:ascii="Times New Roman" w:hAnsi="Times New Roman" w:cs="Times New Roman"/>
                                <w:b/>
                                <w:bCs/>
                                <w:szCs w:val="20"/>
                              </w:rPr>
                            </w:pPr>
                            <w:r w:rsidRPr="00816B93">
                              <w:rPr>
                                <w:rFonts w:ascii="Times New Roman" w:hAnsi="Times New Roman" w:cs="Times New Roman"/>
                                <w:b/>
                                <w:bCs/>
                                <w:szCs w:val="20"/>
                                <w:highlight w:val="green"/>
                              </w:rPr>
                              <w:t>Agreement</w:t>
                            </w:r>
                            <w:r>
                              <w:rPr>
                                <w:rFonts w:ascii="Times New Roman" w:hAnsi="Times New Roman" w:cs="Times New Roman"/>
                                <w:b/>
                                <w:bCs/>
                                <w:szCs w:val="20"/>
                              </w:rPr>
                              <w:t xml:space="preserve"> </w:t>
                            </w:r>
                          </w:p>
                          <w:p w14:paraId="5AB3C912" w14:textId="77777777" w:rsidR="00E376B5" w:rsidRPr="00816B93" w:rsidRDefault="00E376B5" w:rsidP="0091111E">
                            <w:pPr>
                              <w:snapToGrid w:val="0"/>
                              <w:rPr>
                                <w:rFonts w:ascii="Times New Roman" w:hAnsi="Times New Roman" w:cs="Times New Roman"/>
                                <w:szCs w:val="20"/>
                              </w:rPr>
                            </w:pPr>
                            <w:r w:rsidRPr="00816B93">
                              <w:rPr>
                                <w:rFonts w:ascii="Times New Roman" w:hAnsi="Times New Roman" w:cs="Times New Roman"/>
                                <w:szCs w:val="20"/>
                              </w:rPr>
                              <w:t>On Rel.17 enhancements to facilitate UE-initiated panel activation and selection, for CSI/beam measurement/reporting, down select and/or modify from the following candidates:</w:t>
                            </w:r>
                          </w:p>
                          <w:p w14:paraId="3E35A768" w14:textId="77777777" w:rsidR="00E376B5" w:rsidRPr="00816B93" w:rsidRDefault="00E376B5" w:rsidP="00C4412A">
                            <w:pPr>
                              <w:pStyle w:val="ListParagraph"/>
                              <w:numPr>
                                <w:ilvl w:val="0"/>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Opt1-1: A panel entity corresponds to a reported CSI-RS and/or SSB resource index in a beam reporting instance</w:t>
                            </w:r>
                          </w:p>
                          <w:p w14:paraId="2B6421E4" w14:textId="77777777" w:rsidR="00E376B5" w:rsidRPr="00816B93" w:rsidRDefault="00E376B5" w:rsidP="00C4412A">
                            <w:pPr>
                              <w:pStyle w:val="ListParagraph"/>
                              <w:numPr>
                                <w:ilvl w:val="1"/>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The correspondence between a panel entity and a reported CSI-RS and/or SSB resource index is informed to NW</w:t>
                            </w:r>
                          </w:p>
                          <w:p w14:paraId="3B74EAE4" w14:textId="77777777" w:rsidR="00E376B5" w:rsidRPr="00816B93" w:rsidRDefault="00E376B5" w:rsidP="00C4412A">
                            <w:pPr>
                              <w:pStyle w:val="ListParagraph"/>
                              <w:numPr>
                                <w:ilvl w:val="2"/>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FFS: How to inform through CSI/beam reporting framework</w:t>
                            </w:r>
                          </w:p>
                          <w:p w14:paraId="0F63F61C" w14:textId="77777777" w:rsidR="00E376B5" w:rsidRPr="00816B93" w:rsidRDefault="00E376B5" w:rsidP="00C4412A">
                            <w:pPr>
                              <w:pStyle w:val="ListParagraph"/>
                              <w:numPr>
                                <w:ilvl w:val="1"/>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 xml:space="preserve">FFS: Detailed design of the correspondence including the conveyed information </w:t>
                            </w:r>
                          </w:p>
                          <w:p w14:paraId="08E55C61" w14:textId="77777777" w:rsidR="00E376B5" w:rsidRPr="00816B93" w:rsidRDefault="00E376B5" w:rsidP="00C4412A">
                            <w:pPr>
                              <w:pStyle w:val="ListParagraph"/>
                              <w:numPr>
                                <w:ilvl w:val="1"/>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Note: the correspondence between a CSI-RS and/or SSB resource index and a panel entity is determined by the UE (analogous to Rel-15/16)</w:t>
                            </w:r>
                          </w:p>
                          <w:p w14:paraId="62159E4C" w14:textId="77777777" w:rsidR="00E376B5" w:rsidRPr="00816B93" w:rsidRDefault="00E376B5" w:rsidP="00C4412A">
                            <w:pPr>
                              <w:pStyle w:val="ListParagraph"/>
                              <w:numPr>
                                <w:ilvl w:val="0"/>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Opt1-2: A panel entity is referring to a new panel ID within CSI/beam reports</w:t>
                            </w:r>
                          </w:p>
                          <w:p w14:paraId="7266B820" w14:textId="77777777" w:rsidR="00E376B5" w:rsidRPr="00816B93" w:rsidRDefault="00E376B5" w:rsidP="00C4412A">
                            <w:pPr>
                              <w:pStyle w:val="ListParagraph"/>
                              <w:numPr>
                                <w:ilvl w:val="1"/>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FFS: Detailed design of the new panel ID including the information conveyed by the new panel ID</w:t>
                            </w:r>
                          </w:p>
                          <w:p w14:paraId="69B2A0C1" w14:textId="77777777" w:rsidR="00E376B5" w:rsidRPr="00816B93" w:rsidRDefault="00E376B5" w:rsidP="00C4412A">
                            <w:pPr>
                              <w:pStyle w:val="ListParagraph"/>
                              <w:numPr>
                                <w:ilvl w:val="1"/>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Note: The association between the new panel ID and the panel entity is determined by the UE</w:t>
                            </w:r>
                          </w:p>
                          <w:p w14:paraId="04CDF325" w14:textId="77777777" w:rsidR="00E376B5" w:rsidRPr="00816B93" w:rsidRDefault="00E376B5" w:rsidP="00C4412A">
                            <w:pPr>
                              <w:pStyle w:val="ListParagraph"/>
                              <w:numPr>
                                <w:ilvl w:val="0"/>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Opt1-3: No additional specification support</w:t>
                            </w:r>
                          </w:p>
                          <w:p w14:paraId="6BF57C8C" w14:textId="77777777" w:rsidR="00E376B5" w:rsidRPr="00816B93" w:rsidRDefault="00E376B5" w:rsidP="00C4412A">
                            <w:pPr>
                              <w:pStyle w:val="ListParagraph"/>
                              <w:numPr>
                                <w:ilvl w:val="0"/>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The duration in which the above panel entity reference is valid and the respective setting are FFS</w:t>
                            </w:r>
                          </w:p>
                          <w:p w14:paraId="5AB0A802" w14:textId="01A3ADD4" w:rsidR="00E376B5" w:rsidRPr="004E3493" w:rsidRDefault="00E376B5" w:rsidP="004E3493">
                            <w:pPr>
                              <w:snapToGrid w:val="0"/>
                              <w:rPr>
                                <w:rFonts w:ascii="Times New Roman" w:hAnsi="Times New Roman" w:cs="Times New Roman"/>
                                <w:szCs w:val="20"/>
                              </w:rPr>
                            </w:pPr>
                            <w:r w:rsidRPr="00816B93">
                              <w:rPr>
                                <w:rFonts w:ascii="Times New Roman" w:hAnsi="Times New Roman" w:cs="Times New Roman"/>
                                <w:szCs w:val="20"/>
                              </w:rPr>
                              <w:t>Note: “panel entity” is only used for discussion purpose</w:t>
                            </w:r>
                            <w:r>
                              <w:rPr>
                                <w:rFonts w:ascii="Times New Roman" w:hAnsi="Times New Roman" w:cs="Times New Roman"/>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007BB0E" id="Text Box 51" o:spid="_x0000_s1045"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ADMVuSUQIAAKsEAAAOAAAAAAAAAAAAAAAAAC4CAABkcnMvZTJvRG9jLnhtbFBLAQItABQABgAI&#10;AAAAIQAiBMLm3AAAAAUBAAAPAAAAAAAAAAAAAAAAAKsEAABkcnMvZG93bnJldi54bWxQSwUGAAAA&#10;AAQABADzAAAAtAUAAAAA&#10;" fillcolor="white [3201]" strokeweight=".5pt">
                <v:textbox style="mso-fit-shape-to-text:t">
                  <w:txbxContent>
                    <w:p w14:paraId="462A2AAB" w14:textId="4773D815" w:rsidR="00E376B5" w:rsidRPr="00816B93" w:rsidRDefault="00E376B5" w:rsidP="0091111E">
                      <w:pPr>
                        <w:wordWrap w:val="0"/>
                        <w:rPr>
                          <w:rFonts w:ascii="Times New Roman" w:hAnsi="Times New Roman" w:cs="Times New Roman"/>
                          <w:b/>
                          <w:bCs/>
                          <w:szCs w:val="20"/>
                        </w:rPr>
                      </w:pPr>
                      <w:r w:rsidRPr="00816B93">
                        <w:rPr>
                          <w:rFonts w:ascii="Times New Roman" w:hAnsi="Times New Roman" w:cs="Times New Roman"/>
                          <w:b/>
                          <w:bCs/>
                          <w:szCs w:val="20"/>
                          <w:highlight w:val="green"/>
                        </w:rPr>
                        <w:t>Agreement</w:t>
                      </w:r>
                      <w:r>
                        <w:rPr>
                          <w:rFonts w:ascii="Times New Roman" w:hAnsi="Times New Roman" w:cs="Times New Roman"/>
                          <w:b/>
                          <w:bCs/>
                          <w:szCs w:val="20"/>
                        </w:rPr>
                        <w:t xml:space="preserve"> </w:t>
                      </w:r>
                    </w:p>
                    <w:p w14:paraId="5AB3C912" w14:textId="77777777" w:rsidR="00E376B5" w:rsidRPr="00816B93" w:rsidRDefault="00E376B5" w:rsidP="0091111E">
                      <w:pPr>
                        <w:snapToGrid w:val="0"/>
                        <w:rPr>
                          <w:rFonts w:ascii="Times New Roman" w:hAnsi="Times New Roman" w:cs="Times New Roman"/>
                          <w:szCs w:val="20"/>
                        </w:rPr>
                      </w:pPr>
                      <w:r w:rsidRPr="00816B93">
                        <w:rPr>
                          <w:rFonts w:ascii="Times New Roman" w:hAnsi="Times New Roman" w:cs="Times New Roman"/>
                          <w:szCs w:val="20"/>
                        </w:rPr>
                        <w:t>On Rel.17 enhancements to facilitate UE-initiated panel activation and selection, for CSI/beam measurement/reporting, down select and/or modify from the following candidates:</w:t>
                      </w:r>
                    </w:p>
                    <w:p w14:paraId="3E35A768" w14:textId="77777777" w:rsidR="00E376B5" w:rsidRPr="00816B93" w:rsidRDefault="00E376B5" w:rsidP="00C4412A">
                      <w:pPr>
                        <w:pStyle w:val="ListParagraph"/>
                        <w:numPr>
                          <w:ilvl w:val="0"/>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Opt1-1: A panel entity corresponds to a reported CSI-RS and/or SSB resource index in a beam reporting instance</w:t>
                      </w:r>
                    </w:p>
                    <w:p w14:paraId="2B6421E4" w14:textId="77777777" w:rsidR="00E376B5" w:rsidRPr="00816B93" w:rsidRDefault="00E376B5" w:rsidP="00C4412A">
                      <w:pPr>
                        <w:pStyle w:val="ListParagraph"/>
                        <w:numPr>
                          <w:ilvl w:val="1"/>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The correspondence between a panel entity and a reported CSI-RS and/or SSB resource index is informed to NW</w:t>
                      </w:r>
                    </w:p>
                    <w:p w14:paraId="3B74EAE4" w14:textId="77777777" w:rsidR="00E376B5" w:rsidRPr="00816B93" w:rsidRDefault="00E376B5" w:rsidP="00C4412A">
                      <w:pPr>
                        <w:pStyle w:val="ListParagraph"/>
                        <w:numPr>
                          <w:ilvl w:val="2"/>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FFS: How to inform through CSI/beam reporting framework</w:t>
                      </w:r>
                    </w:p>
                    <w:p w14:paraId="0F63F61C" w14:textId="77777777" w:rsidR="00E376B5" w:rsidRPr="00816B93" w:rsidRDefault="00E376B5" w:rsidP="00C4412A">
                      <w:pPr>
                        <w:pStyle w:val="ListParagraph"/>
                        <w:numPr>
                          <w:ilvl w:val="1"/>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 xml:space="preserve">FFS: Detailed design of the correspondence including the conveyed information </w:t>
                      </w:r>
                    </w:p>
                    <w:p w14:paraId="08E55C61" w14:textId="77777777" w:rsidR="00E376B5" w:rsidRPr="00816B93" w:rsidRDefault="00E376B5" w:rsidP="00C4412A">
                      <w:pPr>
                        <w:pStyle w:val="ListParagraph"/>
                        <w:numPr>
                          <w:ilvl w:val="1"/>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Note: the correspondence between a CSI-RS and/or SSB resource index and a panel entity is determined by the UE (analogous to Rel-15/16)</w:t>
                      </w:r>
                    </w:p>
                    <w:p w14:paraId="62159E4C" w14:textId="77777777" w:rsidR="00E376B5" w:rsidRPr="00816B93" w:rsidRDefault="00E376B5" w:rsidP="00C4412A">
                      <w:pPr>
                        <w:pStyle w:val="ListParagraph"/>
                        <w:numPr>
                          <w:ilvl w:val="0"/>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Opt1-2: A panel entity is referring to a new panel ID within CSI/beam reports</w:t>
                      </w:r>
                    </w:p>
                    <w:p w14:paraId="7266B820" w14:textId="77777777" w:rsidR="00E376B5" w:rsidRPr="00816B93" w:rsidRDefault="00E376B5" w:rsidP="00C4412A">
                      <w:pPr>
                        <w:pStyle w:val="ListParagraph"/>
                        <w:numPr>
                          <w:ilvl w:val="1"/>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FFS: Detailed design of the new panel ID including the information conveyed by the new panel ID</w:t>
                      </w:r>
                    </w:p>
                    <w:p w14:paraId="69B2A0C1" w14:textId="77777777" w:rsidR="00E376B5" w:rsidRPr="00816B93" w:rsidRDefault="00E376B5" w:rsidP="00C4412A">
                      <w:pPr>
                        <w:pStyle w:val="ListParagraph"/>
                        <w:numPr>
                          <w:ilvl w:val="1"/>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Note: The association between the new panel ID and the panel entity is determined by the UE</w:t>
                      </w:r>
                    </w:p>
                    <w:p w14:paraId="04CDF325" w14:textId="77777777" w:rsidR="00E376B5" w:rsidRPr="00816B93" w:rsidRDefault="00E376B5" w:rsidP="00C4412A">
                      <w:pPr>
                        <w:pStyle w:val="ListParagraph"/>
                        <w:numPr>
                          <w:ilvl w:val="0"/>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Opt1-3: No additional specification support</w:t>
                      </w:r>
                    </w:p>
                    <w:p w14:paraId="6BF57C8C" w14:textId="77777777" w:rsidR="00E376B5" w:rsidRPr="00816B93" w:rsidRDefault="00E376B5" w:rsidP="00C4412A">
                      <w:pPr>
                        <w:pStyle w:val="ListParagraph"/>
                        <w:numPr>
                          <w:ilvl w:val="0"/>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The duration in which the above panel entity reference is valid and the respective setting are FFS</w:t>
                      </w:r>
                    </w:p>
                    <w:p w14:paraId="5AB0A802" w14:textId="01A3ADD4" w:rsidR="00E376B5" w:rsidRPr="004E3493" w:rsidRDefault="00E376B5" w:rsidP="004E3493">
                      <w:pPr>
                        <w:snapToGrid w:val="0"/>
                        <w:rPr>
                          <w:rFonts w:ascii="Times New Roman" w:hAnsi="Times New Roman" w:cs="Times New Roman"/>
                          <w:szCs w:val="20"/>
                        </w:rPr>
                      </w:pPr>
                      <w:r w:rsidRPr="00816B93">
                        <w:rPr>
                          <w:rFonts w:ascii="Times New Roman" w:hAnsi="Times New Roman" w:cs="Times New Roman"/>
                          <w:szCs w:val="20"/>
                        </w:rPr>
                        <w:t>Note: “panel entity” is only used for discussion purpose</w:t>
                      </w:r>
                      <w:r>
                        <w:rPr>
                          <w:rFonts w:ascii="Times New Roman" w:hAnsi="Times New Roman" w:cs="Times New Roman"/>
                          <w:szCs w:val="20"/>
                        </w:rPr>
                        <w:t>.</w:t>
                      </w:r>
                    </w:p>
                  </w:txbxContent>
                </v:textbox>
                <w10:anchorlock/>
              </v:shape>
            </w:pict>
          </mc:Fallback>
        </mc:AlternateContent>
      </w:r>
    </w:p>
    <w:p w14:paraId="1722C728" w14:textId="77777777" w:rsidR="000F6AA3" w:rsidRPr="00511B59" w:rsidRDefault="004E3493" w:rsidP="000E0F2D">
      <w:pPr>
        <w:pStyle w:val="BodyText"/>
        <w:rPr>
          <w:lang w:val="en-GB"/>
        </w:rPr>
      </w:pPr>
      <w:r w:rsidRPr="00511B59">
        <w:rPr>
          <w:lang w:val="en-GB"/>
        </w:rPr>
        <w:t xml:space="preserve">In the agreement, three options regarding the panel ID are listed. </w:t>
      </w:r>
    </w:p>
    <w:p w14:paraId="1ED3D5E3" w14:textId="0B70AEB7" w:rsidR="000F6AA3" w:rsidRPr="00511B59" w:rsidRDefault="000F6AA3" w:rsidP="000F6AA3">
      <w:pPr>
        <w:pStyle w:val="BodyText"/>
        <w:rPr>
          <w:lang w:val="en-GB"/>
        </w:rPr>
      </w:pPr>
      <w:r w:rsidRPr="00511B59">
        <w:rPr>
          <w:lang w:val="en-GB"/>
        </w:rPr>
        <w:t>Fundamental</w:t>
      </w:r>
      <w:r w:rsidR="00DA5149" w:rsidRPr="00511B59">
        <w:rPr>
          <w:lang w:val="en-GB"/>
        </w:rPr>
        <w:t>ly</w:t>
      </w:r>
      <w:r w:rsidRPr="00511B59">
        <w:rPr>
          <w:lang w:val="en-GB"/>
        </w:rPr>
        <w:t>, we could consider the extreme case where the NW has full control over all the UE panels, and full information about all properties about all the UE panels. The NW could perform ideal scheduling on any</w:t>
      </w:r>
      <w:r w:rsidR="004E3493" w:rsidRPr="00511B59">
        <w:rPr>
          <w:lang w:val="en-GB"/>
        </w:rPr>
        <w:t xml:space="preserve"> of the </w:t>
      </w:r>
      <w:r w:rsidRPr="00511B59">
        <w:rPr>
          <w:lang w:val="en-GB"/>
        </w:rPr>
        <w:t>UE panels. Essentially, the UE would turn into multiple UEs that the NW would have to schedule individually, but with some dependency for instance on transmit power and frequency allocations. The scheduling problem faced by the NW resembles the scheduling problem of UL CA, and the NW complexity would be of a similar magnitude:</w:t>
      </w:r>
    </w:p>
    <w:p w14:paraId="3F48C877" w14:textId="7CEB5D98" w:rsidR="000F6AA3" w:rsidRPr="00511B59" w:rsidRDefault="00DA5149" w:rsidP="000F6AA3">
      <w:pPr>
        <w:pStyle w:val="Observation"/>
        <w:rPr>
          <w:lang w:val="en-GB"/>
        </w:rPr>
      </w:pPr>
      <w:bookmarkStart w:id="44" w:name="_Toc79658918"/>
      <w:r w:rsidRPr="00511B59">
        <w:rPr>
          <w:lang w:val="en-GB"/>
        </w:rPr>
        <w:t xml:space="preserve">From a NW complexity point of view, </w:t>
      </w:r>
      <w:r w:rsidR="000F6AA3" w:rsidRPr="00511B59">
        <w:rPr>
          <w:lang w:val="en-GB"/>
        </w:rPr>
        <w:t>UL multi-panel scheduling</w:t>
      </w:r>
      <w:r w:rsidRPr="00511B59">
        <w:rPr>
          <w:lang w:val="en-GB"/>
        </w:rPr>
        <w:t xml:space="preserve"> is similar to UL CA scheduling.</w:t>
      </w:r>
      <w:bookmarkEnd w:id="44"/>
      <w:r w:rsidR="000F6AA3" w:rsidRPr="00511B59">
        <w:rPr>
          <w:lang w:val="en-GB"/>
        </w:rPr>
        <w:t xml:space="preserve"> </w:t>
      </w:r>
    </w:p>
    <w:p w14:paraId="38AA9998" w14:textId="00F251C3" w:rsidR="0097090C" w:rsidRPr="00511B59" w:rsidRDefault="00D26797" w:rsidP="000F6AA3">
      <w:pPr>
        <w:pStyle w:val="BodyText"/>
        <w:rPr>
          <w:lang w:val="en-GB"/>
        </w:rPr>
      </w:pPr>
      <w:r w:rsidRPr="00511B59">
        <w:rPr>
          <w:lang w:val="en-GB"/>
        </w:rPr>
        <w:t>Since the NW complexity of UL</w:t>
      </w:r>
      <w:r w:rsidR="001060F8">
        <w:rPr>
          <w:lang w:val="en-GB"/>
        </w:rPr>
        <w:t xml:space="preserve"> CA scheduling is high,</w:t>
      </w:r>
      <w:r w:rsidRPr="00511B59">
        <w:rPr>
          <w:lang w:val="en-GB"/>
        </w:rPr>
        <w:t xml:space="preserve"> there should be clear and significant benefits with </w:t>
      </w:r>
      <w:r w:rsidR="001060F8">
        <w:rPr>
          <w:lang w:val="en-GB"/>
        </w:rPr>
        <w:t xml:space="preserve">UL multi-panel scheduling using </w:t>
      </w:r>
      <w:r w:rsidRPr="00511B59">
        <w:rPr>
          <w:lang w:val="en-GB"/>
        </w:rPr>
        <w:t xml:space="preserve">an explicit panel identifier. UE Tx panels have been discussed during both Rel-16 and Rel-17, EVMs have been </w:t>
      </w:r>
      <w:r w:rsidR="0097090C" w:rsidRPr="00511B59">
        <w:rPr>
          <w:lang w:val="en-GB"/>
        </w:rPr>
        <w:t xml:space="preserve">agreed, and simulations have been performed. In all these discussions, there has been no indication that an explicit panel identifier would be beneficial. What some (but not all simulations) have shown is that there is sometimes beneficial that the UE transmits in UL from another panel than the UE receives in DL. As we understand it, such UL transmissions can be achieved using UL TCI states, i.e., by using references to DL or UL RSs. </w:t>
      </w:r>
      <w:r w:rsidR="00741442" w:rsidRPr="00511B59">
        <w:rPr>
          <w:lang w:val="en-GB"/>
        </w:rPr>
        <w:t xml:space="preserve">In subsection 2.4.2., such a scheme is demonstrated. </w:t>
      </w:r>
      <w:r w:rsidR="0097090C" w:rsidRPr="00511B59">
        <w:rPr>
          <w:lang w:val="en-GB"/>
        </w:rPr>
        <w:t xml:space="preserve">The benefits </w:t>
      </w:r>
      <w:r w:rsidR="00741442" w:rsidRPr="00511B59">
        <w:rPr>
          <w:lang w:val="en-GB"/>
        </w:rPr>
        <w:t xml:space="preserve">of an additional panel identifier </w:t>
      </w:r>
      <w:r w:rsidR="0097090C" w:rsidRPr="00511B59">
        <w:rPr>
          <w:lang w:val="en-GB"/>
        </w:rPr>
        <w:t xml:space="preserve">have so far not been demonstrated. </w:t>
      </w:r>
    </w:p>
    <w:p w14:paraId="27444CC0" w14:textId="59ECC988" w:rsidR="0097090C" w:rsidRPr="00511B59" w:rsidRDefault="0097090C" w:rsidP="0097090C">
      <w:pPr>
        <w:pStyle w:val="Observation"/>
        <w:rPr>
          <w:lang w:val="en-GB"/>
        </w:rPr>
      </w:pPr>
      <w:bookmarkStart w:id="45" w:name="_Toc79658919"/>
      <w:r w:rsidRPr="00511B59">
        <w:rPr>
          <w:lang w:val="en-GB"/>
        </w:rPr>
        <w:t xml:space="preserve">There has been no evidence that an explicit panel identifier provides </w:t>
      </w:r>
      <w:r w:rsidR="00A226AE" w:rsidRPr="00511B59">
        <w:rPr>
          <w:lang w:val="en-GB"/>
        </w:rPr>
        <w:t xml:space="preserve">any </w:t>
      </w:r>
      <w:r w:rsidRPr="00511B59">
        <w:rPr>
          <w:lang w:val="en-GB"/>
        </w:rPr>
        <w:t>additional benefits compared to just steering UL transmissions using</w:t>
      </w:r>
      <w:r w:rsidR="000F1371" w:rsidRPr="00511B59">
        <w:rPr>
          <w:lang w:val="en-GB"/>
        </w:rPr>
        <w:t xml:space="preserve"> UL </w:t>
      </w:r>
      <w:bookmarkStart w:id="46" w:name="_Hlk71621971"/>
      <w:r w:rsidR="000F1371" w:rsidRPr="00511B59">
        <w:rPr>
          <w:lang w:val="en-GB"/>
        </w:rPr>
        <w:t xml:space="preserve">or joint DL/UL </w:t>
      </w:r>
      <w:bookmarkEnd w:id="46"/>
      <w:r w:rsidRPr="00511B59">
        <w:rPr>
          <w:lang w:val="en-GB"/>
        </w:rPr>
        <w:t>TCI.</w:t>
      </w:r>
      <w:bookmarkEnd w:id="45"/>
    </w:p>
    <w:p w14:paraId="3991342B" w14:textId="585B50C7" w:rsidR="004E3493" w:rsidRPr="00511B59" w:rsidRDefault="00A226AE" w:rsidP="000E0F2D">
      <w:pPr>
        <w:pStyle w:val="BodyText"/>
        <w:rPr>
          <w:lang w:val="en-GB"/>
        </w:rPr>
      </w:pPr>
      <w:r w:rsidRPr="00511B59">
        <w:rPr>
          <w:lang w:val="en-GB"/>
        </w:rPr>
        <w:t xml:space="preserve">Coming back to the </w:t>
      </w:r>
      <w:r w:rsidR="004E3493" w:rsidRPr="00511B59">
        <w:rPr>
          <w:lang w:val="en-GB"/>
        </w:rPr>
        <w:t>options</w:t>
      </w:r>
      <w:r w:rsidRPr="00511B59">
        <w:rPr>
          <w:lang w:val="en-GB"/>
        </w:rPr>
        <w:t xml:space="preserve"> for a panel ID</w:t>
      </w:r>
      <w:r w:rsidR="004E3493" w:rsidRPr="00511B59">
        <w:rPr>
          <w:lang w:val="en-GB"/>
        </w:rPr>
        <w:t>, it is stated that some representation of a panel ID is conveyed to the NW</w:t>
      </w:r>
      <w:r w:rsidR="00CD16FC" w:rsidRPr="00511B59">
        <w:rPr>
          <w:lang w:val="en-GB"/>
        </w:rPr>
        <w:t xml:space="preserve"> directly or indirectly in a CSI report.</w:t>
      </w:r>
      <w:r w:rsidR="0090523C" w:rsidRPr="00511B59">
        <w:rPr>
          <w:lang w:val="en-GB"/>
        </w:rPr>
        <w:t xml:space="preserve"> </w:t>
      </w:r>
      <w:r w:rsidR="00FA1B0D" w:rsidRPr="00511B59">
        <w:rPr>
          <w:lang w:val="en-GB"/>
        </w:rPr>
        <w:t>However, the options do not mention anything about how the NW would use the panel ID. In fact, the following agreements were reached in RAN1#104-e:</w:t>
      </w:r>
    </w:p>
    <w:p w14:paraId="79D77006" w14:textId="77777777" w:rsidR="00FA1B0D" w:rsidRPr="00511B59" w:rsidRDefault="00FA1B0D" w:rsidP="00FA1B0D">
      <w:pPr>
        <w:pStyle w:val="BodyText"/>
      </w:pPr>
      <w:r w:rsidRPr="00511B59">
        <w:rPr>
          <w:noProof/>
        </w:rPr>
        <w:lastRenderedPageBreak/>
        <mc:AlternateContent>
          <mc:Choice Requires="wps">
            <w:drawing>
              <wp:inline distT="0" distB="0" distL="0" distR="0" wp14:anchorId="58F19B67" wp14:editId="47E396C2">
                <wp:extent cx="6146359" cy="771276"/>
                <wp:effectExtent l="0" t="0" r="26035" b="24765"/>
                <wp:docPr id="7" name="Text Box 7"/>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082D016D" w14:textId="77777777" w:rsidR="00E376B5" w:rsidRPr="006C5327" w:rsidRDefault="00E376B5" w:rsidP="00FA1B0D">
                            <w:pPr>
                              <w:snapToGrid w:val="0"/>
                              <w:spacing w:after="0"/>
                              <w:rPr>
                                <w:rFonts w:ascii="Times" w:eastAsia="Batang" w:hAnsi="Times" w:cs="Times"/>
                                <w:szCs w:val="20"/>
                                <w:lang w:val="en-GB"/>
                              </w:rPr>
                            </w:pPr>
                            <w:r w:rsidRPr="006C5327">
                              <w:rPr>
                                <w:rFonts w:ascii="Times" w:eastAsia="Batang" w:hAnsi="Times" w:cs="Times"/>
                                <w:b/>
                                <w:bCs/>
                                <w:szCs w:val="20"/>
                                <w:highlight w:val="green"/>
                                <w:lang w:val="en-GB"/>
                              </w:rPr>
                              <w:t>Agreement</w:t>
                            </w:r>
                          </w:p>
                          <w:p w14:paraId="419C6759" w14:textId="77777777" w:rsidR="00E376B5" w:rsidRPr="006C5327" w:rsidRDefault="00E376B5" w:rsidP="00FA1B0D">
                            <w:pPr>
                              <w:snapToGrid w:val="0"/>
                              <w:spacing w:after="0"/>
                              <w:jc w:val="both"/>
                              <w:rPr>
                                <w:rFonts w:ascii="Times" w:eastAsia="Batang" w:hAnsi="Times" w:cs="Times"/>
                                <w:szCs w:val="20"/>
                                <w:lang w:val="en-GB"/>
                              </w:rPr>
                            </w:pPr>
                            <w:r w:rsidRPr="006C5327">
                              <w:rPr>
                                <w:rFonts w:ascii="Times" w:eastAsia="Batang" w:hAnsi="Times" w:cs="Times"/>
                                <w:szCs w:val="20"/>
                                <w:lang w:val="en-GB"/>
                              </w:rPr>
                              <w:t>On Rel.17 enhancement for facilitating fast uplink panel selection,</w:t>
                            </w:r>
                          </w:p>
                          <w:p w14:paraId="28359661" w14:textId="77777777" w:rsidR="00E376B5" w:rsidRPr="006C5327" w:rsidRDefault="00E376B5" w:rsidP="00C4412A">
                            <w:pPr>
                              <w:numPr>
                                <w:ilvl w:val="0"/>
                                <w:numId w:val="24"/>
                              </w:numPr>
                              <w:spacing w:after="0" w:line="240" w:lineRule="auto"/>
                              <w:rPr>
                                <w:rFonts w:ascii="Times" w:eastAsia="Batang" w:hAnsi="Times" w:cs="Times"/>
                                <w:szCs w:val="20"/>
                                <w:lang w:val="en-GB"/>
                              </w:rPr>
                            </w:pPr>
                            <w:r w:rsidRPr="006C5327">
                              <w:rPr>
                                <w:rFonts w:ascii="Times" w:eastAsia="Batang" w:hAnsi="Times" w:cs="Times"/>
                                <w:szCs w:val="20"/>
                                <w:lang w:val="en-GB"/>
                              </w:rPr>
                              <w:t>Rel.17 TCI state update (based on MAC CE + DCI along with the necessary TCI state activation, or MAC CE only) can be used for UE UL panel selection:</w:t>
                            </w:r>
                          </w:p>
                          <w:p w14:paraId="2AD6C0EF" w14:textId="77777777" w:rsidR="00E376B5" w:rsidRPr="006C5327" w:rsidRDefault="00E376B5" w:rsidP="00C4412A">
                            <w:pPr>
                              <w:numPr>
                                <w:ilvl w:val="0"/>
                                <w:numId w:val="25"/>
                              </w:numPr>
                              <w:spacing w:after="0" w:line="240" w:lineRule="auto"/>
                              <w:rPr>
                                <w:rFonts w:ascii="Times" w:eastAsia="Batang" w:hAnsi="Times" w:cs="Times"/>
                                <w:szCs w:val="20"/>
                                <w:lang w:val="en-GB"/>
                              </w:rPr>
                            </w:pPr>
                            <w:r w:rsidRPr="006C5327">
                              <w:rPr>
                                <w:rFonts w:ascii="Times" w:eastAsia="Batang" w:hAnsi="Times" w:cs="Times"/>
                                <w:szCs w:val="20"/>
                                <w:lang w:val="en-GB"/>
                              </w:rPr>
                              <w:t>FFS : Whether specification support for this feature is necessary and if so the details of such spec support, e.g.  </w:t>
                            </w:r>
                          </w:p>
                          <w:p w14:paraId="0BB4656C" w14:textId="77777777" w:rsidR="00E376B5" w:rsidRPr="006C5327" w:rsidRDefault="00E376B5" w:rsidP="00C4412A">
                            <w:pPr>
                              <w:numPr>
                                <w:ilvl w:val="1"/>
                                <w:numId w:val="23"/>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Additional spec support in TCI state definition to accommodate UL panel</w:t>
                            </w:r>
                          </w:p>
                          <w:p w14:paraId="22A3967C" w14:textId="77777777" w:rsidR="00E376B5" w:rsidRPr="006C5327" w:rsidRDefault="00E376B5" w:rsidP="00C4412A">
                            <w:pPr>
                              <w:numPr>
                                <w:ilvl w:val="1"/>
                                <w:numId w:val="23"/>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UE reporting to facilitate UL panel selection</w:t>
                            </w:r>
                          </w:p>
                          <w:p w14:paraId="78D0DA00" w14:textId="77777777" w:rsidR="00E376B5" w:rsidRPr="006C5327" w:rsidRDefault="00E376B5" w:rsidP="00C4412A">
                            <w:pPr>
                              <w:numPr>
                                <w:ilvl w:val="1"/>
                                <w:numId w:val="23"/>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UE reporting, e.g. panel-specific report, including UE -panel state, e.g. inactive, active for DL /UL measurement, active for DL reception only, active for UL transmission, or other combination(s) of UE -panel states</w:t>
                            </w:r>
                          </w:p>
                          <w:p w14:paraId="7F4832B9" w14:textId="77777777" w:rsidR="00E376B5" w:rsidRPr="006C5327" w:rsidRDefault="00E376B5" w:rsidP="00C4412A">
                            <w:pPr>
                              <w:numPr>
                                <w:ilvl w:val="1"/>
                                <w:numId w:val="23"/>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Support for linking or association of UE panels with CSI-RS/SSB resources or resource sets, SRS resource sets, and/or PUCCH resource groups, etc.</w:t>
                            </w:r>
                          </w:p>
                          <w:p w14:paraId="246589C0" w14:textId="77777777" w:rsidR="00E376B5" w:rsidRPr="006C5327" w:rsidRDefault="00E376B5" w:rsidP="00FA1B0D">
                            <w:pPr>
                              <w:spacing w:after="0"/>
                              <w:jc w:val="both"/>
                              <w:rPr>
                                <w:rFonts w:ascii="Times" w:eastAsia="Batang" w:hAnsi="Times" w:cs="Times New Roman"/>
                                <w:szCs w:val="24"/>
                                <w:lang w:val="en-GB"/>
                              </w:rPr>
                            </w:pPr>
                            <w:r w:rsidRPr="006C5327">
                              <w:rPr>
                                <w:rFonts w:ascii="Times" w:eastAsia="Batang" w:hAnsi="Times" w:cs="Times New Roman"/>
                                <w:b/>
                                <w:bCs/>
                                <w:szCs w:val="24"/>
                                <w:highlight w:val="green"/>
                                <w:lang w:val="en-GB"/>
                              </w:rPr>
                              <w:t>Agreement</w:t>
                            </w:r>
                          </w:p>
                          <w:p w14:paraId="66624EDC" w14:textId="77777777" w:rsidR="00E376B5" w:rsidRPr="006C5327" w:rsidRDefault="00E376B5" w:rsidP="00FA1B0D">
                            <w:pPr>
                              <w:spacing w:after="0"/>
                              <w:jc w:val="both"/>
                              <w:rPr>
                                <w:rFonts w:ascii="Times" w:eastAsia="Batang" w:hAnsi="Times" w:cs="Times New Roman"/>
                                <w:szCs w:val="24"/>
                                <w:lang w:val="en-GB"/>
                              </w:rPr>
                            </w:pPr>
                            <w:r w:rsidRPr="006C5327">
                              <w:rPr>
                                <w:rFonts w:ascii="Times" w:eastAsia="Batang" w:hAnsi="Times" w:cs="Times New Roman"/>
                                <w:szCs w:val="24"/>
                                <w:lang w:val="en-GB"/>
                              </w:rPr>
                              <w:t>On Rel.17 enhancement for facilitating fast uplink panel selection, for discussion purpose, a panel entity corresponds to one or more RS resources:</w:t>
                            </w:r>
                          </w:p>
                          <w:p w14:paraId="64782C08" w14:textId="77777777" w:rsidR="00E376B5" w:rsidRPr="006C5327" w:rsidRDefault="00E376B5"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For CSI/beam reporting, the RS resource is an RS associated with measurement and/or reporting</w:t>
                            </w:r>
                          </w:p>
                          <w:p w14:paraId="713E0E23" w14:textId="77777777" w:rsidR="00E376B5" w:rsidRPr="006C5327" w:rsidRDefault="00E376B5"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For beam indication, the RS resource is a source RS for UL TX spatial filter information</w:t>
                            </w:r>
                          </w:p>
                          <w:p w14:paraId="74B14FBF" w14:textId="77777777" w:rsidR="00E376B5" w:rsidRPr="006C5327" w:rsidRDefault="00E376B5"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Note: For one RS resource, the corresponding panel entity may vary and is controlled by the UE, and whether/how to maintain a common understanding between gNB and UE can be further discussed/decided</w:t>
                            </w:r>
                          </w:p>
                          <w:p w14:paraId="514D361E" w14:textId="77777777" w:rsidR="00E376B5" w:rsidRPr="006C5327" w:rsidRDefault="00E376B5"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Note: The above does not preclude possibility that an RS resource can be mapped to multiple panels</w:t>
                            </w:r>
                          </w:p>
                          <w:p w14:paraId="1A21EDC0" w14:textId="77777777" w:rsidR="00E376B5" w:rsidRPr="006C5327" w:rsidRDefault="00E376B5"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Note: The one or more RS resources may correspond to one or more RS resource set(s) depending on further discussion/decision</w:t>
                            </w:r>
                          </w:p>
                          <w:p w14:paraId="71BC1C19" w14:textId="6FF81077" w:rsidR="00E376B5" w:rsidRPr="00FA1B0D" w:rsidRDefault="00E376B5"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Note: Specification should not be designed in such a way that the UE is required to disclose its antenna implementation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8F19B67" id="Text Box 7" o:spid="_x0000_s104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" fillcolor="white [3201]" strokeweight=".5pt">
                <v:textbox style="mso-fit-shape-to-text:t">
                  <w:txbxContent>
                    <w:p w14:paraId="082D016D" w14:textId="77777777" w:rsidR="00E376B5" w:rsidRPr="006C5327" w:rsidRDefault="00E376B5" w:rsidP="00FA1B0D">
                      <w:pPr>
                        <w:snapToGrid w:val="0"/>
                        <w:spacing w:after="0"/>
                        <w:rPr>
                          <w:rFonts w:ascii="Times" w:eastAsia="Batang" w:hAnsi="Times" w:cs="Times"/>
                          <w:szCs w:val="20"/>
                          <w:lang w:val="en-GB"/>
                        </w:rPr>
                      </w:pPr>
                      <w:r w:rsidRPr="006C5327">
                        <w:rPr>
                          <w:rFonts w:ascii="Times" w:eastAsia="Batang" w:hAnsi="Times" w:cs="Times"/>
                          <w:b/>
                          <w:bCs/>
                          <w:szCs w:val="20"/>
                          <w:highlight w:val="green"/>
                          <w:lang w:val="en-GB"/>
                        </w:rPr>
                        <w:t>Agreement</w:t>
                      </w:r>
                    </w:p>
                    <w:p w14:paraId="419C6759" w14:textId="77777777" w:rsidR="00E376B5" w:rsidRPr="006C5327" w:rsidRDefault="00E376B5" w:rsidP="00FA1B0D">
                      <w:pPr>
                        <w:snapToGrid w:val="0"/>
                        <w:spacing w:after="0"/>
                        <w:jc w:val="both"/>
                        <w:rPr>
                          <w:rFonts w:ascii="Times" w:eastAsia="Batang" w:hAnsi="Times" w:cs="Times"/>
                          <w:szCs w:val="20"/>
                          <w:lang w:val="en-GB"/>
                        </w:rPr>
                      </w:pPr>
                      <w:r w:rsidRPr="006C5327">
                        <w:rPr>
                          <w:rFonts w:ascii="Times" w:eastAsia="Batang" w:hAnsi="Times" w:cs="Times"/>
                          <w:szCs w:val="20"/>
                          <w:lang w:val="en-GB"/>
                        </w:rPr>
                        <w:t>On Rel.17 enhancement for facilitating fast uplink panel selection,</w:t>
                      </w:r>
                    </w:p>
                    <w:p w14:paraId="28359661" w14:textId="77777777" w:rsidR="00E376B5" w:rsidRPr="006C5327" w:rsidRDefault="00E376B5" w:rsidP="00C4412A">
                      <w:pPr>
                        <w:numPr>
                          <w:ilvl w:val="0"/>
                          <w:numId w:val="24"/>
                        </w:numPr>
                        <w:spacing w:after="0" w:line="240" w:lineRule="auto"/>
                        <w:rPr>
                          <w:rFonts w:ascii="Times" w:eastAsia="Batang" w:hAnsi="Times" w:cs="Times"/>
                          <w:szCs w:val="20"/>
                          <w:lang w:val="en-GB"/>
                        </w:rPr>
                      </w:pPr>
                      <w:r w:rsidRPr="006C5327">
                        <w:rPr>
                          <w:rFonts w:ascii="Times" w:eastAsia="Batang" w:hAnsi="Times" w:cs="Times"/>
                          <w:szCs w:val="20"/>
                          <w:lang w:val="en-GB"/>
                        </w:rPr>
                        <w:t>Rel.17 TCI state update (based on MAC CE + DCI along with the necessary TCI state activation, or MAC CE only) can be used for UE UL panel selection:</w:t>
                      </w:r>
                    </w:p>
                    <w:p w14:paraId="2AD6C0EF" w14:textId="77777777" w:rsidR="00E376B5" w:rsidRPr="006C5327" w:rsidRDefault="00E376B5" w:rsidP="00C4412A">
                      <w:pPr>
                        <w:numPr>
                          <w:ilvl w:val="0"/>
                          <w:numId w:val="25"/>
                        </w:numPr>
                        <w:spacing w:after="0" w:line="240" w:lineRule="auto"/>
                        <w:rPr>
                          <w:rFonts w:ascii="Times" w:eastAsia="Batang" w:hAnsi="Times" w:cs="Times"/>
                          <w:szCs w:val="20"/>
                          <w:lang w:val="en-GB"/>
                        </w:rPr>
                      </w:pPr>
                      <w:proofErr w:type="gramStart"/>
                      <w:r w:rsidRPr="006C5327">
                        <w:rPr>
                          <w:rFonts w:ascii="Times" w:eastAsia="Batang" w:hAnsi="Times" w:cs="Times"/>
                          <w:szCs w:val="20"/>
                          <w:lang w:val="en-GB"/>
                        </w:rPr>
                        <w:t>FFS :</w:t>
                      </w:r>
                      <w:proofErr w:type="gramEnd"/>
                      <w:r w:rsidRPr="006C5327">
                        <w:rPr>
                          <w:rFonts w:ascii="Times" w:eastAsia="Batang" w:hAnsi="Times" w:cs="Times"/>
                          <w:szCs w:val="20"/>
                          <w:lang w:val="en-GB"/>
                        </w:rPr>
                        <w:t xml:space="preserve"> Whether specification support for this feature is necessary and if so the details of such spec support, e.g.  </w:t>
                      </w:r>
                    </w:p>
                    <w:p w14:paraId="0BB4656C" w14:textId="77777777" w:rsidR="00E376B5" w:rsidRPr="006C5327" w:rsidRDefault="00E376B5" w:rsidP="00C4412A">
                      <w:pPr>
                        <w:numPr>
                          <w:ilvl w:val="1"/>
                          <w:numId w:val="23"/>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Additional spec support in TCI state definition to accommodate UL panel</w:t>
                      </w:r>
                    </w:p>
                    <w:p w14:paraId="22A3967C" w14:textId="77777777" w:rsidR="00E376B5" w:rsidRPr="006C5327" w:rsidRDefault="00E376B5" w:rsidP="00C4412A">
                      <w:pPr>
                        <w:numPr>
                          <w:ilvl w:val="1"/>
                          <w:numId w:val="23"/>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UE reporting to facilitate UL panel selection</w:t>
                      </w:r>
                    </w:p>
                    <w:p w14:paraId="78D0DA00" w14:textId="77777777" w:rsidR="00E376B5" w:rsidRPr="006C5327" w:rsidRDefault="00E376B5" w:rsidP="00C4412A">
                      <w:pPr>
                        <w:numPr>
                          <w:ilvl w:val="1"/>
                          <w:numId w:val="23"/>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 xml:space="preserve">UE reporting, </w:t>
                      </w:r>
                      <w:proofErr w:type="gramStart"/>
                      <w:r w:rsidRPr="006C5327">
                        <w:rPr>
                          <w:rFonts w:ascii="Times" w:eastAsia="Batang" w:hAnsi="Times" w:cs="Times"/>
                          <w:szCs w:val="20"/>
                          <w:lang w:val="en-GB" w:eastAsia="x-none"/>
                        </w:rPr>
                        <w:t>e.g.</w:t>
                      </w:r>
                      <w:proofErr w:type="gramEnd"/>
                      <w:r w:rsidRPr="006C5327">
                        <w:rPr>
                          <w:rFonts w:ascii="Times" w:eastAsia="Batang" w:hAnsi="Times" w:cs="Times"/>
                          <w:szCs w:val="20"/>
                          <w:lang w:val="en-GB" w:eastAsia="x-none"/>
                        </w:rPr>
                        <w:t xml:space="preserve"> panel-specific report, including UE -panel state, e.g. inactive, active for DL /UL measurement, active for DL reception only, active for UL transmission, or other combination(s) of UE -panel states</w:t>
                      </w:r>
                    </w:p>
                    <w:p w14:paraId="7F4832B9" w14:textId="77777777" w:rsidR="00E376B5" w:rsidRPr="006C5327" w:rsidRDefault="00E376B5" w:rsidP="00C4412A">
                      <w:pPr>
                        <w:numPr>
                          <w:ilvl w:val="1"/>
                          <w:numId w:val="23"/>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Support for linking or association of UE panels with CSI-RS/SSB resources or resource sets, SRS resource sets, and/or PUCCH resource groups, etc.</w:t>
                      </w:r>
                    </w:p>
                    <w:p w14:paraId="246589C0" w14:textId="77777777" w:rsidR="00E376B5" w:rsidRPr="006C5327" w:rsidRDefault="00E376B5" w:rsidP="00FA1B0D">
                      <w:pPr>
                        <w:spacing w:after="0"/>
                        <w:jc w:val="both"/>
                        <w:rPr>
                          <w:rFonts w:ascii="Times" w:eastAsia="Batang" w:hAnsi="Times" w:cs="Times New Roman"/>
                          <w:szCs w:val="24"/>
                          <w:lang w:val="en-GB"/>
                        </w:rPr>
                      </w:pPr>
                      <w:r w:rsidRPr="006C5327">
                        <w:rPr>
                          <w:rFonts w:ascii="Times" w:eastAsia="Batang" w:hAnsi="Times" w:cs="Times New Roman"/>
                          <w:b/>
                          <w:bCs/>
                          <w:szCs w:val="24"/>
                          <w:highlight w:val="green"/>
                          <w:lang w:val="en-GB"/>
                        </w:rPr>
                        <w:t>Agreement</w:t>
                      </w:r>
                    </w:p>
                    <w:p w14:paraId="66624EDC" w14:textId="77777777" w:rsidR="00E376B5" w:rsidRPr="006C5327" w:rsidRDefault="00E376B5" w:rsidP="00FA1B0D">
                      <w:pPr>
                        <w:spacing w:after="0"/>
                        <w:jc w:val="both"/>
                        <w:rPr>
                          <w:rFonts w:ascii="Times" w:eastAsia="Batang" w:hAnsi="Times" w:cs="Times New Roman"/>
                          <w:szCs w:val="24"/>
                          <w:lang w:val="en-GB"/>
                        </w:rPr>
                      </w:pPr>
                      <w:r w:rsidRPr="006C5327">
                        <w:rPr>
                          <w:rFonts w:ascii="Times" w:eastAsia="Batang" w:hAnsi="Times" w:cs="Times New Roman"/>
                          <w:szCs w:val="24"/>
                          <w:lang w:val="en-GB"/>
                        </w:rPr>
                        <w:t>On Rel.17 enhancement for facilitating fast uplink panel selection, for discussion purpose, a panel entity corresponds to one or more RS resources:</w:t>
                      </w:r>
                    </w:p>
                    <w:p w14:paraId="64782C08" w14:textId="77777777" w:rsidR="00E376B5" w:rsidRPr="006C5327" w:rsidRDefault="00E376B5"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For CSI/beam reporting, the RS resource is an RS associated with measurement and/or reporting</w:t>
                      </w:r>
                    </w:p>
                    <w:p w14:paraId="713E0E23" w14:textId="77777777" w:rsidR="00E376B5" w:rsidRPr="006C5327" w:rsidRDefault="00E376B5"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For beam indication, the RS resource is a source RS for UL TX spatial filter information</w:t>
                      </w:r>
                    </w:p>
                    <w:p w14:paraId="74B14FBF" w14:textId="77777777" w:rsidR="00E376B5" w:rsidRPr="006C5327" w:rsidRDefault="00E376B5"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Note: For one RS resource, the corresponding panel entity may vary and is controlled by the UE, and whether/how to maintain a common understanding between gNB and UE can be further discussed/decided</w:t>
                      </w:r>
                    </w:p>
                    <w:p w14:paraId="514D361E" w14:textId="77777777" w:rsidR="00E376B5" w:rsidRPr="006C5327" w:rsidRDefault="00E376B5"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Note: The above does not preclude possibility that an RS resource can be mapped to multiple panels</w:t>
                      </w:r>
                    </w:p>
                    <w:p w14:paraId="1A21EDC0" w14:textId="77777777" w:rsidR="00E376B5" w:rsidRPr="006C5327" w:rsidRDefault="00E376B5"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Note: The one or more RS resources may correspond to one or more RS resource set(s) depending on further discussion/decision</w:t>
                      </w:r>
                    </w:p>
                    <w:p w14:paraId="71BC1C19" w14:textId="6FF81077" w:rsidR="00E376B5" w:rsidRPr="00FA1B0D" w:rsidRDefault="00E376B5"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Note: Specification should not be designed in such a way that the UE is required to disclose its antenna implementation</w:t>
                      </w:r>
                    </w:p>
                  </w:txbxContent>
                </v:textbox>
                <w10:anchorlock/>
              </v:shape>
            </w:pict>
          </mc:Fallback>
        </mc:AlternateContent>
      </w:r>
    </w:p>
    <w:p w14:paraId="237576FE" w14:textId="77C6D126" w:rsidR="00FA1B0D" w:rsidRPr="00511B59" w:rsidRDefault="00FA1B0D" w:rsidP="000E0F2D">
      <w:pPr>
        <w:pStyle w:val="BodyText"/>
        <w:rPr>
          <w:lang w:val="en-GB"/>
        </w:rPr>
      </w:pPr>
      <w:r w:rsidRPr="00511B59">
        <w:rPr>
          <w:lang w:val="en-GB"/>
        </w:rPr>
        <w:t>Two things are important to note from these agreements:</w:t>
      </w:r>
    </w:p>
    <w:p w14:paraId="4176DDE3" w14:textId="4629772E" w:rsidR="00FA1B0D" w:rsidRPr="00511B59" w:rsidRDefault="00FA1B0D" w:rsidP="00C4412A">
      <w:pPr>
        <w:pStyle w:val="BodyText"/>
        <w:numPr>
          <w:ilvl w:val="0"/>
          <w:numId w:val="13"/>
        </w:numPr>
        <w:rPr>
          <w:lang w:val="en-GB"/>
        </w:rPr>
      </w:pPr>
      <w:r w:rsidRPr="00511B59">
        <w:rPr>
          <w:lang w:val="en-GB"/>
        </w:rPr>
        <w:t>Rel-17 TCI state update is used for UE UL panel selection.</w:t>
      </w:r>
    </w:p>
    <w:p w14:paraId="3FCE0B3C" w14:textId="5F303F42" w:rsidR="001B5832" w:rsidRPr="00511B59" w:rsidRDefault="001B5832" w:rsidP="00C4412A">
      <w:pPr>
        <w:pStyle w:val="BodyText"/>
        <w:numPr>
          <w:ilvl w:val="0"/>
          <w:numId w:val="13"/>
        </w:numPr>
        <w:rPr>
          <w:lang w:val="en-GB"/>
        </w:rPr>
      </w:pPr>
      <w:r w:rsidRPr="00511B59">
        <w:rPr>
          <w:lang w:val="en-GB"/>
        </w:rPr>
        <w:t>For beam indication, an RS resource corresponds to a panel entity.</w:t>
      </w:r>
    </w:p>
    <w:p w14:paraId="4088FD74" w14:textId="3BBC4A39" w:rsidR="00AA4FEF" w:rsidRPr="00511B59" w:rsidRDefault="001B5832" w:rsidP="001B5832">
      <w:pPr>
        <w:pStyle w:val="BodyText"/>
        <w:rPr>
          <w:lang w:val="en-GB"/>
        </w:rPr>
      </w:pPr>
      <w:r w:rsidRPr="00511B59">
        <w:rPr>
          <w:lang w:val="en-GB"/>
        </w:rPr>
        <w:t xml:space="preserve">Thus, RAN1 has agreed that for the actual beam indication, only the RS resource is used. </w:t>
      </w:r>
      <w:r w:rsidR="00AA4FEF" w:rsidRPr="00511B59">
        <w:rPr>
          <w:lang w:val="en-GB"/>
        </w:rPr>
        <w:t xml:space="preserve">This makes sense, since the UL Tx filter determines from which direction the UL is received, and the NW would have to know that to adjust its analog receiver. In addition, the scheduling grant determines the number of layers, precoder and MCS. However, apart from that, the NW does not necessarily have to know anything about the UL transmission to demodulate it. </w:t>
      </w:r>
    </w:p>
    <w:p w14:paraId="58F7A4C9" w14:textId="26DA23B7" w:rsidR="001B5832" w:rsidRPr="00511B59" w:rsidRDefault="00AA4FEF" w:rsidP="001B5832">
      <w:pPr>
        <w:pStyle w:val="BodyText"/>
        <w:rPr>
          <w:lang w:val="en-GB"/>
        </w:rPr>
      </w:pPr>
      <w:r w:rsidRPr="00511B59">
        <w:rPr>
          <w:lang w:val="en-GB"/>
        </w:rPr>
        <w:t>Thus, t</w:t>
      </w:r>
      <w:r w:rsidR="001B5832" w:rsidRPr="00511B59">
        <w:rPr>
          <w:lang w:val="en-GB"/>
        </w:rPr>
        <w:t xml:space="preserve">he panel ID is only </w:t>
      </w:r>
      <w:r w:rsidR="007F6EAA" w:rsidRPr="00511B59">
        <w:rPr>
          <w:lang w:val="en-GB"/>
        </w:rPr>
        <w:t>used as additional information at the NW, and with this abstraction level, the NW can only decide which panel is used if the different panels map to different RS resources:</w:t>
      </w:r>
    </w:p>
    <w:p w14:paraId="016687F5" w14:textId="1C534528" w:rsidR="007F6EAA" w:rsidRPr="00511B59" w:rsidRDefault="007F6EAA" w:rsidP="007F6EAA">
      <w:pPr>
        <w:pStyle w:val="Observation"/>
        <w:rPr>
          <w:lang w:val="en-GB"/>
        </w:rPr>
      </w:pPr>
      <w:bookmarkStart w:id="47" w:name="_Toc79658920"/>
      <w:r w:rsidRPr="00511B59">
        <w:rPr>
          <w:lang w:val="en-GB"/>
        </w:rPr>
        <w:t>Since an RS resource is used as beam indication, the NW cannot in general decide which panel the UE should use for UL transmission.</w:t>
      </w:r>
      <w:bookmarkEnd w:id="47"/>
    </w:p>
    <w:p w14:paraId="1E708E72" w14:textId="07D57168" w:rsidR="00E023DF" w:rsidRPr="00511B59" w:rsidRDefault="007F6EAA" w:rsidP="00822306">
      <w:pPr>
        <w:pStyle w:val="BodyText"/>
        <w:rPr>
          <w:lang w:val="en-GB"/>
        </w:rPr>
      </w:pPr>
      <w:r w:rsidRPr="00511B59">
        <w:rPr>
          <w:lang w:val="en-GB"/>
        </w:rPr>
        <w:t>Hence, even if the NW knew that different panels would have different properties, the NW cannot instruct the UE to use a certain panel, sin</w:t>
      </w:r>
      <w:r w:rsidR="00AA4FEF" w:rsidRPr="00511B59">
        <w:rPr>
          <w:lang w:val="en-GB"/>
        </w:rPr>
        <w:t>c</w:t>
      </w:r>
      <w:r w:rsidRPr="00511B59">
        <w:rPr>
          <w:lang w:val="en-GB"/>
        </w:rPr>
        <w:t xml:space="preserve">e the panel identity is hidden behind the RS resource identity.  Only in special cases, the NW can instruct the UE to use a certain panel. </w:t>
      </w:r>
      <w:r w:rsidR="00822306" w:rsidRPr="00511B59">
        <w:rPr>
          <w:lang w:val="en-GB"/>
        </w:rPr>
        <w:t xml:space="preserve">Interestingly enough, the cases where the NW could instruct the UE to use a specific panel is when the panels are mapped to different RSs in the UL </w:t>
      </w:r>
      <w:r w:rsidR="000F1371" w:rsidRPr="00511B59">
        <w:rPr>
          <w:lang w:val="en-GB"/>
        </w:rPr>
        <w:t xml:space="preserve">or joint DL/UL </w:t>
      </w:r>
      <w:r w:rsidR="00822306" w:rsidRPr="00511B59">
        <w:rPr>
          <w:lang w:val="en-GB"/>
        </w:rPr>
        <w:t xml:space="preserve">TCI state, in which case scheduling using UL </w:t>
      </w:r>
      <w:r w:rsidR="000F1371" w:rsidRPr="00511B59">
        <w:rPr>
          <w:lang w:val="en-GB"/>
        </w:rPr>
        <w:t xml:space="preserve">or joint DL/UL </w:t>
      </w:r>
      <w:r w:rsidR="00822306" w:rsidRPr="00511B59">
        <w:rPr>
          <w:lang w:val="en-GB"/>
        </w:rPr>
        <w:t>TCI would work fine.</w:t>
      </w:r>
    </w:p>
    <w:p w14:paraId="7E0DB18A" w14:textId="293A2DFE" w:rsidR="004E3493" w:rsidRPr="00511B59" w:rsidRDefault="00E023DF" w:rsidP="000E0F2D">
      <w:pPr>
        <w:pStyle w:val="BodyText"/>
        <w:rPr>
          <w:lang w:val="en-GB"/>
        </w:rPr>
      </w:pPr>
      <w:r w:rsidRPr="00511B59">
        <w:rPr>
          <w:lang w:val="en-GB"/>
        </w:rPr>
        <w:t xml:space="preserve">These comments are related to previous RAN1 agreements and reflect the fact that the UE (for good reasons) do not want to expose its panel arrangement and antenna properties. This makes it even more difficult to design an efficient scheme that explores the various panels at the UE. </w:t>
      </w:r>
    </w:p>
    <w:p w14:paraId="380343F0" w14:textId="3D95B181" w:rsidR="00A226AE" w:rsidRPr="00511B59" w:rsidRDefault="00A226AE" w:rsidP="000E0F2D">
      <w:pPr>
        <w:pStyle w:val="BodyText"/>
        <w:rPr>
          <w:lang w:val="en-GB"/>
        </w:rPr>
      </w:pPr>
      <w:r w:rsidRPr="00511B59">
        <w:rPr>
          <w:lang w:val="en-GB"/>
        </w:rPr>
        <w:t>Summing up, we realize that</w:t>
      </w:r>
    </w:p>
    <w:p w14:paraId="32C78418" w14:textId="54DA1FE7" w:rsidR="00A226AE" w:rsidRPr="00511B59" w:rsidRDefault="00A226AE" w:rsidP="00C4412A">
      <w:pPr>
        <w:pStyle w:val="BodyText"/>
        <w:numPr>
          <w:ilvl w:val="0"/>
          <w:numId w:val="13"/>
        </w:numPr>
        <w:rPr>
          <w:lang w:val="en-GB"/>
        </w:rPr>
      </w:pPr>
      <w:r w:rsidRPr="00511B59">
        <w:rPr>
          <w:lang w:val="en-GB"/>
        </w:rPr>
        <w:t xml:space="preserve">Fundamentally, there are no indications that scheduling using an explicit panel ID would be any better than scheduling using UL </w:t>
      </w:r>
      <w:r w:rsidR="000F1371" w:rsidRPr="00511B59">
        <w:rPr>
          <w:lang w:val="en-GB"/>
        </w:rPr>
        <w:t xml:space="preserve">or joint DL/UL </w:t>
      </w:r>
      <w:r w:rsidRPr="00511B59">
        <w:rPr>
          <w:lang w:val="en-GB"/>
        </w:rPr>
        <w:t>TCI.</w:t>
      </w:r>
    </w:p>
    <w:p w14:paraId="6EC355CA" w14:textId="760C5E13" w:rsidR="00A226AE" w:rsidRPr="00511B59" w:rsidRDefault="00A226AE" w:rsidP="00C4412A">
      <w:pPr>
        <w:pStyle w:val="BodyText"/>
        <w:numPr>
          <w:ilvl w:val="0"/>
          <w:numId w:val="13"/>
        </w:numPr>
        <w:rPr>
          <w:lang w:val="en-GB"/>
        </w:rPr>
      </w:pPr>
      <w:r w:rsidRPr="00511B59">
        <w:rPr>
          <w:lang w:val="en-GB"/>
        </w:rPr>
        <w:t xml:space="preserve">The </w:t>
      </w:r>
      <w:r w:rsidR="00822306" w:rsidRPr="00511B59">
        <w:rPr>
          <w:lang w:val="en-GB"/>
        </w:rPr>
        <w:t>Rel-17 agreements make scheduling using an explicit panel ID impossible.</w:t>
      </w:r>
    </w:p>
    <w:p w14:paraId="01905AA8" w14:textId="4F06CE17" w:rsidR="00A226AE" w:rsidRPr="00511B59" w:rsidRDefault="00822306" w:rsidP="000E0F2D">
      <w:pPr>
        <w:pStyle w:val="BodyText"/>
        <w:rPr>
          <w:lang w:val="en-GB"/>
        </w:rPr>
      </w:pPr>
      <w:r w:rsidRPr="00511B59">
        <w:rPr>
          <w:lang w:val="en-GB"/>
        </w:rPr>
        <w:lastRenderedPageBreak/>
        <w:t xml:space="preserve">Since there have been no indications that an explicit panel ID would be beneficial, and since </w:t>
      </w:r>
      <w:r w:rsidR="00CB5F5C" w:rsidRPr="00511B59">
        <w:rPr>
          <w:lang w:val="en-GB"/>
        </w:rPr>
        <w:t xml:space="preserve">previous RAN1 agreements state that UL scheduling can only be performed using </w:t>
      </w:r>
      <w:r w:rsidR="00CC78B3" w:rsidRPr="00511B59">
        <w:rPr>
          <w:lang w:val="en-GB"/>
        </w:rPr>
        <w:t xml:space="preserve">UL </w:t>
      </w:r>
      <w:r w:rsidR="000F1371" w:rsidRPr="00511B59">
        <w:rPr>
          <w:lang w:val="en-GB"/>
        </w:rPr>
        <w:t xml:space="preserve">or joint DL/UL </w:t>
      </w:r>
      <w:r w:rsidR="00CC78B3" w:rsidRPr="00511B59">
        <w:rPr>
          <w:lang w:val="en-GB"/>
        </w:rPr>
        <w:t>TCI, we do not see any motivation to add an explicit panel identifier, and propose</w:t>
      </w:r>
    </w:p>
    <w:p w14:paraId="12D0D2C9" w14:textId="70205B00" w:rsidR="00631D64" w:rsidRPr="00511B59" w:rsidRDefault="00631D64" w:rsidP="000E0F2D">
      <w:pPr>
        <w:pStyle w:val="Proposal"/>
        <w:rPr>
          <w:lang w:val="en-GB"/>
        </w:rPr>
      </w:pPr>
      <w:bookmarkStart w:id="48" w:name="_Toc79658951"/>
      <w:r w:rsidRPr="00511B59">
        <w:rPr>
          <w:lang w:val="en-GB"/>
        </w:rPr>
        <w:t>No additional specification support is</w:t>
      </w:r>
      <w:r w:rsidR="000C55C5" w:rsidRPr="00511B59">
        <w:rPr>
          <w:lang w:val="en-GB"/>
        </w:rPr>
        <w:t xml:space="preserve"> introduced</w:t>
      </w:r>
      <w:r w:rsidRPr="00511B59">
        <w:rPr>
          <w:lang w:val="en-GB"/>
        </w:rPr>
        <w:t xml:space="preserve"> for UE Tx panel selection on top of the </w:t>
      </w:r>
      <w:r w:rsidR="00486FBF" w:rsidRPr="00511B59">
        <w:rPr>
          <w:lang w:val="en-GB"/>
        </w:rPr>
        <w:t xml:space="preserve">agreed </w:t>
      </w:r>
      <w:r w:rsidRPr="00511B59">
        <w:rPr>
          <w:lang w:val="en-GB"/>
        </w:rPr>
        <w:t xml:space="preserve">Rel.17 TCI state </w:t>
      </w:r>
      <w:r w:rsidR="00486FBF" w:rsidRPr="00511B59">
        <w:rPr>
          <w:lang w:val="en-GB"/>
        </w:rPr>
        <w:t>signalling</w:t>
      </w:r>
      <w:r w:rsidRPr="00511B59">
        <w:rPr>
          <w:lang w:val="en-GB"/>
        </w:rPr>
        <w:t>.</w:t>
      </w:r>
      <w:bookmarkEnd w:id="48"/>
      <w:r w:rsidRPr="00511B59">
        <w:rPr>
          <w:lang w:val="en-GB"/>
        </w:rPr>
        <w:t xml:space="preserve"> </w:t>
      </w:r>
    </w:p>
    <w:p w14:paraId="70332735" w14:textId="67629824" w:rsidR="00A226AE" w:rsidRPr="00511B59" w:rsidRDefault="00A226AE" w:rsidP="00A226AE">
      <w:pPr>
        <w:pStyle w:val="BodyText"/>
        <w:rPr>
          <w:lang w:val="en-GB"/>
        </w:rPr>
      </w:pPr>
      <w:r w:rsidRPr="00511B59">
        <w:rPr>
          <w:lang w:val="en-GB"/>
        </w:rPr>
        <w:t xml:space="preserve">Of course, if such benefits would be demonstrated, we would be happy to introduce </w:t>
      </w:r>
      <w:r w:rsidR="00CC78B3" w:rsidRPr="00511B59">
        <w:rPr>
          <w:lang w:val="en-GB"/>
        </w:rPr>
        <w:t>specification support for an additional panel identifier.</w:t>
      </w:r>
    </w:p>
    <w:p w14:paraId="1B0C1AAB" w14:textId="67C6C878" w:rsidR="000C55C5" w:rsidRPr="00511B59" w:rsidRDefault="000C55C5" w:rsidP="000C55C5">
      <w:pPr>
        <w:rPr>
          <w:lang w:val="en-GB" w:eastAsia="ja-JP"/>
        </w:rPr>
      </w:pPr>
      <w:r w:rsidRPr="00511B59">
        <w:rPr>
          <w:lang w:val="en-GB" w:eastAsia="ja-JP"/>
        </w:rPr>
        <w:t xml:space="preserve">We also fail to see why the UE should expose its panel status to the network. In Rel-15/16, the measurements reports sent by the UE provide the network with information to handle the communication. The network controls the spatial properties of the reception and transmission using TCI states and spatial relations. The NW may choose to activate TCI states, which means that the UE must be prepared to receive using the panel corresponding to the activated TCI states after a short delay. </w:t>
      </w:r>
    </w:p>
    <w:p w14:paraId="3A67C825" w14:textId="531D14C8" w:rsidR="000C55C5" w:rsidRPr="00511B59" w:rsidRDefault="000C55C5" w:rsidP="000C55C5">
      <w:pPr>
        <w:rPr>
          <w:lang w:val="en-GB" w:eastAsia="ja-JP"/>
        </w:rPr>
      </w:pPr>
      <w:r w:rsidRPr="00511B59">
        <w:rPr>
          <w:lang w:val="en-GB" w:eastAsia="ja-JP"/>
        </w:rPr>
        <w:t>We propose to extend this interpretation to the unified TCI framework: a UE must be prepared to receive on a panel corresponding to an activate</w:t>
      </w:r>
      <w:r w:rsidR="00BC1125" w:rsidRPr="00511B59">
        <w:rPr>
          <w:lang w:val="en-GB" w:eastAsia="ja-JP"/>
        </w:rPr>
        <w:t>d</w:t>
      </w:r>
      <w:r w:rsidRPr="00511B59">
        <w:rPr>
          <w:lang w:val="en-GB" w:eastAsia="ja-JP"/>
        </w:rPr>
        <w:t xml:space="preserve"> DL TCI state, and must be prepared to transmit on a panel corresponding to an activate</w:t>
      </w:r>
      <w:r w:rsidR="00BC1125" w:rsidRPr="00511B59">
        <w:rPr>
          <w:lang w:val="en-GB" w:eastAsia="ja-JP"/>
        </w:rPr>
        <w:t>d</w:t>
      </w:r>
      <w:r w:rsidRPr="00511B59">
        <w:rPr>
          <w:lang w:val="en-GB" w:eastAsia="ja-JP"/>
        </w:rPr>
        <w:t xml:space="preserve"> UL </w:t>
      </w:r>
      <w:r w:rsidR="000F1371" w:rsidRPr="00511B59">
        <w:rPr>
          <w:lang w:val="en-GB"/>
        </w:rPr>
        <w:t xml:space="preserve">or joint DL/UL </w:t>
      </w:r>
      <w:r w:rsidRPr="00511B59">
        <w:rPr>
          <w:lang w:val="en-GB" w:eastAsia="ja-JP"/>
        </w:rPr>
        <w:t>TCI state:</w:t>
      </w:r>
    </w:p>
    <w:p w14:paraId="3A760BDC" w14:textId="77777777" w:rsidR="000C55C5" w:rsidRPr="00511B59" w:rsidRDefault="000C55C5" w:rsidP="000E0F2D">
      <w:pPr>
        <w:pStyle w:val="Proposal"/>
        <w:rPr>
          <w:lang w:val="en-GB"/>
        </w:rPr>
      </w:pPr>
      <w:bookmarkStart w:id="49" w:name="_Toc79658952"/>
      <w:r w:rsidRPr="00511B59">
        <w:rPr>
          <w:lang w:val="en-GB"/>
        </w:rPr>
        <w:t xml:space="preserve">After a small delay, the UE must be prepared to </w:t>
      </w:r>
      <w:r w:rsidRPr="00511B59">
        <w:rPr>
          <w:lang w:val="en-GB" w:eastAsia="ja-JP"/>
        </w:rPr>
        <w:t xml:space="preserve">receive on a panel corresponding to an </w:t>
      </w:r>
      <w:r w:rsidRPr="00511B59">
        <w:rPr>
          <w:i/>
          <w:lang w:val="en-GB" w:eastAsia="ja-JP"/>
        </w:rPr>
        <w:t>activated DL TCI state</w:t>
      </w:r>
      <w:r w:rsidRPr="00511B59">
        <w:rPr>
          <w:lang w:val="en-GB" w:eastAsia="ja-JP"/>
        </w:rPr>
        <w:t xml:space="preserve">, and must be prepared to transmit on a panel corresponding to an </w:t>
      </w:r>
      <w:r w:rsidRPr="00511B59">
        <w:rPr>
          <w:i/>
          <w:lang w:val="en-GB" w:eastAsia="ja-JP"/>
        </w:rPr>
        <w:t>activated UL TCI state</w:t>
      </w:r>
      <w:r w:rsidRPr="00511B59">
        <w:rPr>
          <w:lang w:val="en-GB" w:eastAsia="ja-JP"/>
        </w:rPr>
        <w:t>.</w:t>
      </w:r>
      <w:bookmarkEnd w:id="49"/>
    </w:p>
    <w:p w14:paraId="5DB1B749" w14:textId="33152D88" w:rsidR="000C55C5" w:rsidRPr="00511B59" w:rsidRDefault="000C55C5" w:rsidP="000E0F2D">
      <w:pPr>
        <w:pStyle w:val="BodyText"/>
        <w:rPr>
          <w:lang w:val="en-GB"/>
        </w:rPr>
      </w:pPr>
      <w:r w:rsidRPr="00511B59">
        <w:rPr>
          <w:lang w:val="en-GB"/>
        </w:rPr>
        <w:t xml:space="preserve">With this approach, the UE can freely deactivate only panels that do not correspond to </w:t>
      </w:r>
      <w:r w:rsidRPr="00511B59">
        <w:rPr>
          <w:i/>
          <w:lang w:val="en-GB"/>
        </w:rPr>
        <w:t>activated</w:t>
      </w:r>
      <w:r w:rsidRPr="00511B59">
        <w:rPr>
          <w:lang w:val="en-GB"/>
        </w:rPr>
        <w:t xml:space="preserve"> TCI states. Panel</w:t>
      </w:r>
      <w:r w:rsidR="00FD357D" w:rsidRPr="00511B59">
        <w:rPr>
          <w:lang w:val="en-GB"/>
        </w:rPr>
        <w:t>s</w:t>
      </w:r>
      <w:r w:rsidRPr="00511B59">
        <w:rPr>
          <w:lang w:val="en-GB"/>
        </w:rPr>
        <w:t xml:space="preserve"> that correspond to activated TCI states cannot be freely deactivated. However, the activated TCI states would correspond to useful beam pair links, and the UE should typically not deactivate panels corresponding to useful beam pair links. (Nor does the NW activate TCI states corresponding to useless beam pair links.) The UE is of course still allowed to reduce the transmit power on certain panels to comply with regulatory requirements. This may simply lead to degraded performance for some transmissions. </w:t>
      </w:r>
    </w:p>
    <w:p w14:paraId="518B1C81" w14:textId="345AB9BF" w:rsidR="000C55C5" w:rsidRDefault="000C55C5" w:rsidP="000E0F2D">
      <w:pPr>
        <w:pStyle w:val="BodyText"/>
        <w:rPr>
          <w:lang w:val="en-GB"/>
        </w:rPr>
      </w:pPr>
      <w:r w:rsidRPr="00511B59">
        <w:rPr>
          <w:lang w:val="en-GB"/>
        </w:rPr>
        <w:t>There is no requirement for the UE to keep a panel corresponding to a deactivated TCI state active, even if the UE performed measurements using that panel.</w:t>
      </w:r>
    </w:p>
    <w:p w14:paraId="00BC3F52" w14:textId="77777777" w:rsidR="000C52C7" w:rsidRDefault="000C52C7" w:rsidP="000E0F2D">
      <w:pPr>
        <w:pStyle w:val="BodyText"/>
        <w:rPr>
          <w:lang w:val="en-GB"/>
        </w:rPr>
      </w:pPr>
      <w:r>
        <w:rPr>
          <w:lang w:val="en-GB"/>
        </w:rPr>
        <w:t>The following note was captured in the chairman’s notes from RAN1#105-e:</w:t>
      </w:r>
    </w:p>
    <w:p w14:paraId="06B5E6B8" w14:textId="77777777" w:rsidR="000C52C7" w:rsidRPr="00284FA5" w:rsidRDefault="000C52C7" w:rsidP="000C52C7">
      <w:pPr>
        <w:pStyle w:val="BodyText"/>
      </w:pPr>
      <w:r w:rsidRPr="00284FA5">
        <w:rPr>
          <w:noProof/>
        </w:rPr>
        <mc:AlternateContent>
          <mc:Choice Requires="wps">
            <w:drawing>
              <wp:inline distT="0" distB="0" distL="0" distR="0" wp14:anchorId="0B60D6F2" wp14:editId="1D22BAF0">
                <wp:extent cx="6146359" cy="771276"/>
                <wp:effectExtent l="0" t="0" r="26035" b="24765"/>
                <wp:docPr id="23" name="Text Box 23"/>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37C60DFD" w14:textId="77777777" w:rsidR="00E376B5" w:rsidRPr="007A4B66" w:rsidRDefault="00E376B5" w:rsidP="000C52C7">
                            <w:pPr>
                              <w:jc w:val="both"/>
                              <w:rPr>
                                <w:rFonts w:ascii="Times New Roman" w:hAnsi="Times New Roman" w:cs="Times New Roman"/>
                                <w:b/>
                                <w:bCs/>
                                <w:szCs w:val="20"/>
                              </w:rPr>
                            </w:pPr>
                            <w:r w:rsidRPr="007A4B66">
                              <w:rPr>
                                <w:rFonts w:ascii="Times New Roman" w:hAnsi="Times New Roman" w:cs="Times New Roman"/>
                                <w:b/>
                                <w:szCs w:val="20"/>
                              </w:rPr>
                              <w:t>For future meetings:</w:t>
                            </w:r>
                          </w:p>
                          <w:p w14:paraId="111A4497" w14:textId="161D04BB" w:rsidR="00E376B5" w:rsidRPr="000C52C7" w:rsidRDefault="00E376B5" w:rsidP="000C52C7">
                            <w:pPr>
                              <w:jc w:val="both"/>
                              <w:rPr>
                                <w:rFonts w:ascii="Times New Roman" w:hAnsi="Times New Roman" w:cs="Times New Roman"/>
                                <w:szCs w:val="20"/>
                              </w:rPr>
                            </w:pPr>
                            <w:r w:rsidRPr="007A4B66">
                              <w:rPr>
                                <w:rFonts w:ascii="Times New Roman" w:hAnsi="Times New Roman" w:cs="Times New Roman"/>
                                <w:szCs w:val="20"/>
                              </w:rPr>
                              <w:t>Continue to study necessary enhancements to optimize transmission from UEs with different number of max number of UL MIMO layers per panel entity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B60D6F2" id="Text Box 23" o:spid="_x0000_s1047"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" fillcolor="white [3201]" strokeweight=".5pt">
                <v:textbox style="mso-fit-shape-to-text:t">
                  <w:txbxContent>
                    <w:p w14:paraId="37C60DFD" w14:textId="77777777" w:rsidR="00E376B5" w:rsidRPr="007A4B66" w:rsidRDefault="00E376B5" w:rsidP="000C52C7">
                      <w:pPr>
                        <w:jc w:val="both"/>
                        <w:rPr>
                          <w:rFonts w:ascii="Times New Roman" w:hAnsi="Times New Roman" w:cs="Times New Roman"/>
                          <w:b/>
                          <w:bCs/>
                          <w:szCs w:val="20"/>
                        </w:rPr>
                      </w:pPr>
                      <w:r w:rsidRPr="007A4B66">
                        <w:rPr>
                          <w:rFonts w:ascii="Times New Roman" w:hAnsi="Times New Roman" w:cs="Times New Roman"/>
                          <w:b/>
                          <w:szCs w:val="20"/>
                        </w:rPr>
                        <w:t>For future meetings:</w:t>
                      </w:r>
                    </w:p>
                    <w:p w14:paraId="111A4497" w14:textId="161D04BB" w:rsidR="00E376B5" w:rsidRPr="000C52C7" w:rsidRDefault="00E376B5" w:rsidP="000C52C7">
                      <w:pPr>
                        <w:jc w:val="both"/>
                        <w:rPr>
                          <w:rFonts w:ascii="Times New Roman" w:hAnsi="Times New Roman" w:cs="Times New Roman"/>
                          <w:szCs w:val="20"/>
                        </w:rPr>
                      </w:pPr>
                      <w:r w:rsidRPr="007A4B66">
                        <w:rPr>
                          <w:rFonts w:ascii="Times New Roman" w:hAnsi="Times New Roman" w:cs="Times New Roman"/>
                          <w:szCs w:val="20"/>
                        </w:rPr>
                        <w:t xml:space="preserve">Continue to study necessary enhancements to optimize transmission from UEs with different number of max </w:t>
                      </w:r>
                      <w:proofErr w:type="gramStart"/>
                      <w:r w:rsidRPr="007A4B66">
                        <w:rPr>
                          <w:rFonts w:ascii="Times New Roman" w:hAnsi="Times New Roman" w:cs="Times New Roman"/>
                          <w:szCs w:val="20"/>
                        </w:rPr>
                        <w:t>number</w:t>
                      </w:r>
                      <w:proofErr w:type="gramEnd"/>
                      <w:r w:rsidRPr="007A4B66">
                        <w:rPr>
                          <w:rFonts w:ascii="Times New Roman" w:hAnsi="Times New Roman" w:cs="Times New Roman"/>
                          <w:szCs w:val="20"/>
                        </w:rPr>
                        <w:t xml:space="preserve"> of UL MIMO layers per panel entity</w:t>
                      </w:r>
                    </w:p>
                  </w:txbxContent>
                </v:textbox>
                <w10:anchorlock/>
              </v:shape>
            </w:pict>
          </mc:Fallback>
        </mc:AlternateContent>
      </w:r>
    </w:p>
    <w:p w14:paraId="3987B12D" w14:textId="60336173" w:rsidR="000C52C7" w:rsidRDefault="000C52C7" w:rsidP="000E0F2D">
      <w:pPr>
        <w:pStyle w:val="BodyText"/>
        <w:rPr>
          <w:lang w:val="en-GB"/>
        </w:rPr>
      </w:pPr>
      <w:r>
        <w:rPr>
          <w:lang w:val="en-GB"/>
        </w:rPr>
        <w:t>This note was captured after long discussions in RAN1#105-e</w:t>
      </w:r>
      <w:r w:rsidR="00835B24">
        <w:rPr>
          <w:lang w:val="en-GB"/>
        </w:rPr>
        <w:t>. The starting point of these discussions was to introduce SRS resource sets, and potentially also a panel ID.</w:t>
      </w:r>
      <w:r>
        <w:rPr>
          <w:lang w:val="en-GB"/>
        </w:rPr>
        <w:t xml:space="preserve"> </w:t>
      </w:r>
      <w:r w:rsidR="00835B24">
        <w:rPr>
          <w:lang w:val="en-GB"/>
        </w:rPr>
        <w:t>In the end, the motivation of these enhancements was related to the maximum number of UL MIMO layers, which was finally captured.</w:t>
      </w:r>
    </w:p>
    <w:p w14:paraId="2E2E6101" w14:textId="6B383016" w:rsidR="00835B24" w:rsidRDefault="00835B24" w:rsidP="000E0F2D">
      <w:pPr>
        <w:pStyle w:val="BodyText"/>
        <w:rPr>
          <w:lang w:val="en-GB"/>
        </w:rPr>
      </w:pPr>
      <w:r>
        <w:rPr>
          <w:lang w:val="en-GB"/>
        </w:rPr>
        <w:t>Since the most common mode of operation in FR2 is to rely on beam correspondence, it would be beneficial to define a solution</w:t>
      </w:r>
      <w:r w:rsidR="00511B59">
        <w:rPr>
          <w:lang w:val="en-GB"/>
        </w:rPr>
        <w:t xml:space="preserve"> for the case where DL RSs are used to steer the UL transmissions. In other words, the beam measurements would contain also information about the maximum number of layers for the associated UL transmission. Thus, the UL rank information could be directly included in the beam report:</w:t>
      </w:r>
    </w:p>
    <w:p w14:paraId="4DB1EB5D" w14:textId="5B6EA9C1" w:rsidR="00511B59" w:rsidRPr="00511B59" w:rsidRDefault="001060F8" w:rsidP="000E0F2D">
      <w:pPr>
        <w:pStyle w:val="Proposal"/>
        <w:rPr>
          <w:lang w:val="en-GB"/>
        </w:rPr>
      </w:pPr>
      <w:bookmarkStart w:id="50" w:name="_Toc79658953"/>
      <w:r>
        <w:rPr>
          <w:lang w:val="en-GB"/>
        </w:rPr>
        <w:t>Consider i</w:t>
      </w:r>
      <w:r w:rsidR="00511B59">
        <w:rPr>
          <w:lang w:val="en-GB"/>
        </w:rPr>
        <w:t>ntroduc</w:t>
      </w:r>
      <w:r>
        <w:rPr>
          <w:lang w:val="en-GB"/>
        </w:rPr>
        <w:t>ing</w:t>
      </w:r>
      <w:r w:rsidR="00511B59">
        <w:rPr>
          <w:lang w:val="en-GB"/>
        </w:rPr>
        <w:t xml:space="preserve"> a measurement report that contains the maximum number of UL MIMO layers for each reported SSBRI/CRI</w:t>
      </w:r>
      <w:bookmarkEnd w:id="50"/>
    </w:p>
    <w:p w14:paraId="5BFBACC4" w14:textId="32C6C1EB" w:rsidR="000C55C5" w:rsidRPr="00DC3EC8" w:rsidRDefault="000C55C5" w:rsidP="000C55C5">
      <w:pPr>
        <w:pStyle w:val="Heading3"/>
      </w:pPr>
      <w:r w:rsidRPr="00DC3EC8">
        <w:t>2.4.2</w:t>
      </w:r>
      <w:r w:rsidRPr="00DC3EC8">
        <w:tab/>
        <w:t>MPE mitigation</w:t>
      </w:r>
    </w:p>
    <w:p w14:paraId="277960B1" w14:textId="322EA790" w:rsidR="000C55C5" w:rsidRPr="00DC3EC8" w:rsidRDefault="000C55C5" w:rsidP="000E0F2D">
      <w:pPr>
        <w:pStyle w:val="BodyText"/>
        <w:rPr>
          <w:lang w:val="en-GB"/>
        </w:rPr>
      </w:pPr>
      <w:r w:rsidRPr="00DC3EC8">
        <w:rPr>
          <w:lang w:val="en-GB"/>
        </w:rPr>
        <w:t>In RAN1#104</w:t>
      </w:r>
      <w:r w:rsidR="00284FA5" w:rsidRPr="00DC3EC8">
        <w:rPr>
          <w:lang w:val="en-GB"/>
        </w:rPr>
        <w:t>bis</w:t>
      </w:r>
      <w:r w:rsidR="00BC1125" w:rsidRPr="00DC3EC8">
        <w:rPr>
          <w:lang w:val="en-GB"/>
        </w:rPr>
        <w:t>-</w:t>
      </w:r>
      <w:r w:rsidRPr="00DC3EC8">
        <w:rPr>
          <w:lang w:val="en-GB"/>
        </w:rPr>
        <w:t>e, the following was agreed:</w:t>
      </w:r>
    </w:p>
    <w:p w14:paraId="767F259D" w14:textId="77777777" w:rsidR="000C55C5" w:rsidRPr="00DC3EC8" w:rsidRDefault="000C55C5" w:rsidP="000E0F2D">
      <w:pPr>
        <w:pStyle w:val="BodyText"/>
      </w:pPr>
      <w:r w:rsidRPr="00DC3EC8">
        <w:rPr>
          <w:noProof/>
        </w:rPr>
        <w:lastRenderedPageBreak/>
        <mc:AlternateContent>
          <mc:Choice Requires="wps">
            <w:drawing>
              <wp:inline distT="0" distB="0" distL="0" distR="0" wp14:anchorId="06D2E489" wp14:editId="63960FD8">
                <wp:extent cx="6146359" cy="771276"/>
                <wp:effectExtent l="0" t="0" r="26035" b="24765"/>
                <wp:docPr id="52" name="Text Box 52"/>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01A367DA" w14:textId="77777777" w:rsidR="00E376B5" w:rsidRPr="00816B93" w:rsidRDefault="00E376B5" w:rsidP="00284FA5">
                            <w:pPr>
                              <w:wordWrap w:val="0"/>
                              <w:rPr>
                                <w:rFonts w:ascii="Times New Roman" w:hAnsi="Times New Roman" w:cs="Times New Roman"/>
                                <w:b/>
                                <w:bCs/>
                                <w:szCs w:val="20"/>
                                <w:lang w:eastAsia="ko-KR"/>
                              </w:rPr>
                            </w:pPr>
                            <w:r w:rsidRPr="00816B93">
                              <w:rPr>
                                <w:rFonts w:ascii="Times New Roman" w:hAnsi="Times New Roman" w:cs="Times New Roman"/>
                                <w:b/>
                                <w:bCs/>
                                <w:szCs w:val="20"/>
                                <w:highlight w:val="green"/>
                              </w:rPr>
                              <w:t>Agreement</w:t>
                            </w:r>
                          </w:p>
                          <w:p w14:paraId="74D3D223" w14:textId="77777777" w:rsidR="00E376B5" w:rsidRPr="00816B93" w:rsidRDefault="00E376B5" w:rsidP="00284FA5">
                            <w:pPr>
                              <w:snapToGrid w:val="0"/>
                              <w:jc w:val="both"/>
                              <w:rPr>
                                <w:rFonts w:ascii="Times New Roman" w:hAnsi="Times New Roman" w:cs="Times New Roman"/>
                                <w:szCs w:val="20"/>
                                <w:lang w:eastAsia="zh-CN"/>
                              </w:rPr>
                            </w:pPr>
                            <w:r w:rsidRPr="00816B93">
                              <w:rPr>
                                <w:rFonts w:ascii="Times New Roman" w:hAnsi="Times New Roman" w:cs="Times New Roman"/>
                                <w:szCs w:val="20"/>
                                <w:lang w:eastAsia="zh-CN"/>
                              </w:rPr>
                              <w:t>On Rel.17 enhancements to facilitate MPE mitigation, in RAN1#105-e, further discuss to down-select at least one or combine from the following options:</w:t>
                            </w:r>
                          </w:p>
                          <w:p w14:paraId="7D316E8A" w14:textId="77777777" w:rsidR="00E376B5" w:rsidRPr="00816B93" w:rsidRDefault="00E376B5" w:rsidP="00C4412A">
                            <w:pPr>
                              <w:pStyle w:val="ListParagraph"/>
                              <w:numPr>
                                <w:ilvl w:val="0"/>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 xml:space="preserve">Opt 1A. {Rel.16 P-MPR based (beam/panel-level)} + Virtual PHR or a modified version </w:t>
                            </w:r>
                          </w:p>
                          <w:p w14:paraId="6C6AAA2D" w14:textId="77777777" w:rsidR="00E376B5" w:rsidRPr="00816B93" w:rsidRDefault="00E376B5"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The modified version may be associated with each activated UL TCI or, if applicable, joint TCI, or associated with each of the reported SSBRI(s)/CRI(s) and/or panel indication (if configured) from candidate pool, if reported.</w:t>
                            </w:r>
                          </w:p>
                          <w:p w14:paraId="530F7EE7" w14:textId="77777777" w:rsidR="00E376B5" w:rsidRPr="00816B93" w:rsidRDefault="00E376B5"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The reporting reuses the event-driven mechanisms from the Rel-16 P-MPR reporting</w:t>
                            </w:r>
                          </w:p>
                          <w:p w14:paraId="148435D1" w14:textId="77777777" w:rsidR="00E376B5" w:rsidRPr="00816B93" w:rsidRDefault="00E376B5"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how to determine the virtual PHR or the modified version.</w:t>
                            </w:r>
                          </w:p>
                          <w:p w14:paraId="2F115ADC" w14:textId="77777777" w:rsidR="00E376B5" w:rsidRPr="00816B93" w:rsidRDefault="00E376B5" w:rsidP="00C4412A">
                            <w:pPr>
                              <w:pStyle w:val="ListParagraph"/>
                              <w:numPr>
                                <w:ilvl w:val="0"/>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Opt 1D. {Rel.16 P-MPR based (beam/panel-level)}</w:t>
                            </w:r>
                          </w:p>
                          <w:p w14:paraId="47D76BC9" w14:textId="77777777" w:rsidR="00E376B5" w:rsidRPr="00816B93" w:rsidRDefault="00E376B5"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The reporting reuses the event-driven mechanisms from the Rel-16 P-MPR reporting</w:t>
                            </w:r>
                          </w:p>
                          <w:p w14:paraId="2E4ECAE6" w14:textId="77777777" w:rsidR="00E376B5" w:rsidRPr="00816B93" w:rsidRDefault="00E376B5" w:rsidP="00C4412A">
                            <w:pPr>
                              <w:pStyle w:val="ListParagraph"/>
                              <w:numPr>
                                <w:ilvl w:val="0"/>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Opt 2A. {SSBRI(s)/CRI(s) and/or panel indication} + L1-RSRP [L1-SINR] or a modified version that accounts for MPE effect associated with each of the reported SSBRI(s)/CRI(s) and/or panel indication (if configured)</w:t>
                            </w:r>
                          </w:p>
                          <w:p w14:paraId="1FCA9AF8" w14:textId="77777777" w:rsidR="00E376B5" w:rsidRPr="00816B93" w:rsidRDefault="00E376B5" w:rsidP="00C4412A">
                            <w:pPr>
                              <w:pStyle w:val="ListParagraph"/>
                              <w:numPr>
                                <w:ilvl w:val="1"/>
                                <w:numId w:val="36"/>
                              </w:numPr>
                              <w:snapToGrid w:val="0"/>
                              <w:spacing w:line="240" w:lineRule="auto"/>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How panel-level L1-RSRP [L1-SINR] is reported if L1-RSRP [L1-SINR] is associated with panel</w:t>
                            </w:r>
                          </w:p>
                          <w:p w14:paraId="3AA7E586" w14:textId="77777777" w:rsidR="00E376B5" w:rsidRPr="00816B93" w:rsidRDefault="00E376B5" w:rsidP="00C4412A">
                            <w:pPr>
                              <w:pStyle w:val="ListParagraph"/>
                              <w:numPr>
                                <w:ilvl w:val="1"/>
                                <w:numId w:val="36"/>
                              </w:numPr>
                              <w:snapToGrid w:val="0"/>
                              <w:spacing w:line="240" w:lineRule="auto"/>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Whether/how to account for MPE effect in L1-RSRP [L1-SINR] report, e.g. by using scaled L1-RSRP [L1-SINR]</w:t>
                            </w:r>
                          </w:p>
                          <w:p w14:paraId="561D1FD1" w14:textId="77777777" w:rsidR="00E376B5" w:rsidRPr="00816B93" w:rsidRDefault="00E376B5"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Whether/how to enhance existing beam reporting format to support Option 2A</w:t>
                            </w:r>
                          </w:p>
                          <w:p w14:paraId="365A8279" w14:textId="77777777" w:rsidR="00E376B5" w:rsidRPr="00816B93" w:rsidRDefault="00E376B5"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When multiple SSBRIs/CRIs and their corresponding metrics are reported in the same reporting instance, whether to allow mixture between the SSBRI(s)/CRI(s</w:t>
                            </w:r>
                            <w:r w:rsidRPr="00816B93">
                              <w:rPr>
                                <w:rFonts w:ascii="Times New Roman" w:hAnsi="Times New Roman" w:cs="Times New Roman"/>
                                <w:sz w:val="20"/>
                                <w:szCs w:val="20"/>
                                <w:lang w:eastAsia="zh-TW"/>
                              </w:rPr>
                              <w:t>)</w:t>
                            </w:r>
                            <w:r w:rsidRPr="00816B93">
                              <w:rPr>
                                <w:rFonts w:ascii="Times New Roman" w:hAnsi="Times New Roman" w:cs="Times New Roman"/>
                                <w:sz w:val="20"/>
                                <w:szCs w:val="20"/>
                                <w:lang w:eastAsia="zh-CN"/>
                              </w:rPr>
                              <w:t xml:space="preserve">) intended for MPE mitigation and for DL beam reporting </w:t>
                            </w:r>
                          </w:p>
                          <w:p w14:paraId="494C24DD" w14:textId="77777777" w:rsidR="00E376B5" w:rsidRPr="00816B93" w:rsidRDefault="00E376B5"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Whether the reporting is UE-initiated (event-driven) and/or NW-initiated</w:t>
                            </w:r>
                          </w:p>
                          <w:p w14:paraId="20BDABED" w14:textId="069F079D" w:rsidR="00E376B5" w:rsidRPr="00FD7E2A" w:rsidRDefault="00E376B5"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If Opt2A is selected and there is no consensus on a modified L1-RSRP definition, at least the Rel-15 L1-RSRP definition is reused and virtual PHR may be added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6D2E489" id="Text Box 52" o:spid="_x0000_s1048"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DUrz1GUQIAAKsEAAAOAAAAAAAAAAAAAAAAAC4CAABkcnMvZTJvRG9jLnhtbFBLAQItABQABgAI&#10;AAAAIQAiBMLm3AAAAAUBAAAPAAAAAAAAAAAAAAAAAKsEAABkcnMvZG93bnJldi54bWxQSwUGAAAA&#10;AAQABADzAAAAtAUAAAAA&#10;" fillcolor="white [3201]" strokeweight=".5pt">
                <v:textbox style="mso-fit-shape-to-text:t">
                  <w:txbxContent>
                    <w:p w14:paraId="01A367DA" w14:textId="77777777" w:rsidR="00E376B5" w:rsidRPr="00816B93" w:rsidRDefault="00E376B5" w:rsidP="00284FA5">
                      <w:pPr>
                        <w:wordWrap w:val="0"/>
                        <w:rPr>
                          <w:rFonts w:ascii="Times New Roman" w:hAnsi="Times New Roman" w:cs="Times New Roman"/>
                          <w:b/>
                          <w:bCs/>
                          <w:szCs w:val="20"/>
                          <w:lang w:eastAsia="ko-KR"/>
                        </w:rPr>
                      </w:pPr>
                      <w:r w:rsidRPr="00816B93">
                        <w:rPr>
                          <w:rFonts w:ascii="Times New Roman" w:hAnsi="Times New Roman" w:cs="Times New Roman"/>
                          <w:b/>
                          <w:bCs/>
                          <w:szCs w:val="20"/>
                          <w:highlight w:val="green"/>
                        </w:rPr>
                        <w:t>Agreement</w:t>
                      </w:r>
                    </w:p>
                    <w:p w14:paraId="74D3D223" w14:textId="77777777" w:rsidR="00E376B5" w:rsidRPr="00816B93" w:rsidRDefault="00E376B5" w:rsidP="00284FA5">
                      <w:pPr>
                        <w:snapToGrid w:val="0"/>
                        <w:jc w:val="both"/>
                        <w:rPr>
                          <w:rFonts w:ascii="Times New Roman" w:hAnsi="Times New Roman" w:cs="Times New Roman"/>
                          <w:szCs w:val="20"/>
                          <w:lang w:eastAsia="zh-CN"/>
                        </w:rPr>
                      </w:pPr>
                      <w:r w:rsidRPr="00816B93">
                        <w:rPr>
                          <w:rFonts w:ascii="Times New Roman" w:hAnsi="Times New Roman" w:cs="Times New Roman"/>
                          <w:szCs w:val="20"/>
                          <w:lang w:eastAsia="zh-CN"/>
                        </w:rPr>
                        <w:t>On Rel.17 enhancements to facilitate MPE mitigation, in RAN1#105-e, further discuss to down-select at least one or combine from the following options:</w:t>
                      </w:r>
                    </w:p>
                    <w:p w14:paraId="7D316E8A" w14:textId="77777777" w:rsidR="00E376B5" w:rsidRPr="00816B93" w:rsidRDefault="00E376B5" w:rsidP="00C4412A">
                      <w:pPr>
                        <w:pStyle w:val="ListParagraph"/>
                        <w:numPr>
                          <w:ilvl w:val="0"/>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 xml:space="preserve">Opt 1A. {Rel.16 P-MPR based (beam/panel-level)} + Virtual PHR or a modified version </w:t>
                      </w:r>
                    </w:p>
                    <w:p w14:paraId="6C6AAA2D" w14:textId="77777777" w:rsidR="00E376B5" w:rsidRPr="00816B93" w:rsidRDefault="00E376B5"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The modified version may be associated with each activated UL TCI or, if applicable, joint TCI, or associated with each of the reported SSBRI(s)/CRI(s) and/or panel indication (if configured) from candidate pool, if reported.</w:t>
                      </w:r>
                    </w:p>
                    <w:p w14:paraId="530F7EE7" w14:textId="77777777" w:rsidR="00E376B5" w:rsidRPr="00816B93" w:rsidRDefault="00E376B5"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The reporting reuses the event-driven mechanisms from the Rel-16 P-MPR reporting</w:t>
                      </w:r>
                    </w:p>
                    <w:p w14:paraId="148435D1" w14:textId="77777777" w:rsidR="00E376B5" w:rsidRPr="00816B93" w:rsidRDefault="00E376B5"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how to determine the virtual PHR or the modified version.</w:t>
                      </w:r>
                    </w:p>
                    <w:p w14:paraId="2F115ADC" w14:textId="77777777" w:rsidR="00E376B5" w:rsidRPr="00816B93" w:rsidRDefault="00E376B5" w:rsidP="00C4412A">
                      <w:pPr>
                        <w:pStyle w:val="ListParagraph"/>
                        <w:numPr>
                          <w:ilvl w:val="0"/>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Opt 1D. {Rel.16 P-MPR based (beam/panel-level)}</w:t>
                      </w:r>
                    </w:p>
                    <w:p w14:paraId="47D76BC9" w14:textId="77777777" w:rsidR="00E376B5" w:rsidRPr="00816B93" w:rsidRDefault="00E376B5"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The reporting reuses the event-driven mechanisms from the Rel-16 P-MPR reporting</w:t>
                      </w:r>
                    </w:p>
                    <w:p w14:paraId="2E4ECAE6" w14:textId="77777777" w:rsidR="00E376B5" w:rsidRPr="00816B93" w:rsidRDefault="00E376B5" w:rsidP="00C4412A">
                      <w:pPr>
                        <w:pStyle w:val="ListParagraph"/>
                        <w:numPr>
                          <w:ilvl w:val="0"/>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Opt 2A. {SSBRI(s)/CRI(s) and/or panel indication} + L1-RSRP [L1-SINR] or a modified version that accounts for MPE effect associated with each of the reported SSBRI(s)/CRI(s) and/or panel indication (if configured)</w:t>
                      </w:r>
                    </w:p>
                    <w:p w14:paraId="1FCA9AF8" w14:textId="77777777" w:rsidR="00E376B5" w:rsidRPr="00816B93" w:rsidRDefault="00E376B5" w:rsidP="00C4412A">
                      <w:pPr>
                        <w:pStyle w:val="ListParagraph"/>
                        <w:numPr>
                          <w:ilvl w:val="1"/>
                          <w:numId w:val="36"/>
                        </w:numPr>
                        <w:snapToGrid w:val="0"/>
                        <w:spacing w:line="240" w:lineRule="auto"/>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How panel-level L1-RSRP [L1-SINR] is reported if L1-RSRP [L1-SINR] is associated with panel</w:t>
                      </w:r>
                    </w:p>
                    <w:p w14:paraId="3AA7E586" w14:textId="77777777" w:rsidR="00E376B5" w:rsidRPr="00816B93" w:rsidRDefault="00E376B5" w:rsidP="00C4412A">
                      <w:pPr>
                        <w:pStyle w:val="ListParagraph"/>
                        <w:numPr>
                          <w:ilvl w:val="1"/>
                          <w:numId w:val="36"/>
                        </w:numPr>
                        <w:snapToGrid w:val="0"/>
                        <w:spacing w:line="240" w:lineRule="auto"/>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Whether/how to account for MPE effect in L1-RSRP [L1-SINR] report, e.g. by using scaled L1-RSRP [L1-SINR]</w:t>
                      </w:r>
                    </w:p>
                    <w:p w14:paraId="561D1FD1" w14:textId="77777777" w:rsidR="00E376B5" w:rsidRPr="00816B93" w:rsidRDefault="00E376B5"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Whether/how to enhance existing beam reporting format to support Option 2A</w:t>
                      </w:r>
                    </w:p>
                    <w:p w14:paraId="365A8279" w14:textId="77777777" w:rsidR="00E376B5" w:rsidRPr="00816B93" w:rsidRDefault="00E376B5"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When multiple SSBRIs/CRIs and their corresponding metrics are reported in the same reporting instance, whether to allow mixture between the SSBRI(s)/CRI(s</w:t>
                      </w:r>
                      <w:r w:rsidRPr="00816B93">
                        <w:rPr>
                          <w:rFonts w:ascii="Times New Roman" w:hAnsi="Times New Roman" w:cs="Times New Roman"/>
                          <w:sz w:val="20"/>
                          <w:szCs w:val="20"/>
                          <w:lang w:eastAsia="zh-TW"/>
                        </w:rPr>
                        <w:t>)</w:t>
                      </w:r>
                      <w:r w:rsidRPr="00816B93">
                        <w:rPr>
                          <w:rFonts w:ascii="Times New Roman" w:hAnsi="Times New Roman" w:cs="Times New Roman"/>
                          <w:sz w:val="20"/>
                          <w:szCs w:val="20"/>
                          <w:lang w:eastAsia="zh-CN"/>
                        </w:rPr>
                        <w:t xml:space="preserve">) intended for MPE mitigation and for DL beam reporting </w:t>
                      </w:r>
                    </w:p>
                    <w:p w14:paraId="494C24DD" w14:textId="77777777" w:rsidR="00E376B5" w:rsidRPr="00816B93" w:rsidRDefault="00E376B5"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Whether the reporting is UE-initiated (event-driven) and/or NW-initiated</w:t>
                      </w:r>
                    </w:p>
                    <w:p w14:paraId="20BDABED" w14:textId="069F079D" w:rsidR="00E376B5" w:rsidRPr="00FD7E2A" w:rsidRDefault="00E376B5"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If Opt2A is selected and there is no consensus on a modified L1-RSRP definition, at least the Rel-15 L1-RSRP definition is reused and virtual PHR may be added</w:t>
                      </w:r>
                    </w:p>
                  </w:txbxContent>
                </v:textbox>
                <w10:anchorlock/>
              </v:shape>
            </w:pict>
          </mc:Fallback>
        </mc:AlternateContent>
      </w:r>
    </w:p>
    <w:p w14:paraId="084E97CD" w14:textId="24A6421F" w:rsidR="00CE1C6A" w:rsidRPr="00DC3EC8" w:rsidRDefault="000C55C5" w:rsidP="000C55C5">
      <w:pPr>
        <w:rPr>
          <w:lang w:val="en-GB" w:eastAsia="ja-JP"/>
        </w:rPr>
      </w:pPr>
      <w:r w:rsidRPr="00DC3EC8">
        <w:rPr>
          <w:lang w:val="en-GB" w:eastAsia="ja-JP"/>
        </w:rPr>
        <w:t xml:space="preserve">This agreement describes </w:t>
      </w:r>
      <w:r w:rsidR="00CE1C6A" w:rsidRPr="00DC3EC8">
        <w:rPr>
          <w:lang w:val="en-GB" w:eastAsia="ja-JP"/>
        </w:rPr>
        <w:t xml:space="preserve">new </w:t>
      </w:r>
      <w:r w:rsidRPr="00DC3EC8">
        <w:rPr>
          <w:lang w:val="en-GB" w:eastAsia="ja-JP"/>
        </w:rPr>
        <w:t xml:space="preserve">reporting options to make the NW aware that </w:t>
      </w:r>
      <w:r w:rsidR="00094A96" w:rsidRPr="00DC3EC8">
        <w:rPr>
          <w:lang w:val="en-GB" w:eastAsia="ja-JP"/>
        </w:rPr>
        <w:t xml:space="preserve">the UE has reduced its maximum Tx power due to emission requirements, typically on one of its panels. </w:t>
      </w:r>
      <w:r w:rsidR="00CE1C6A" w:rsidRPr="00DC3EC8">
        <w:rPr>
          <w:lang w:val="en-GB" w:eastAsia="ja-JP"/>
        </w:rPr>
        <w:t>We note that MPE is not a transient phenomenon: i</w:t>
      </w:r>
      <w:r w:rsidR="00094A96" w:rsidRPr="00DC3EC8">
        <w:rPr>
          <w:lang w:val="en-GB" w:eastAsia="ja-JP"/>
        </w:rPr>
        <w:t xml:space="preserve">t is likely that the UE would have to maintain this lower Tx power for </w:t>
      </w:r>
      <w:r w:rsidR="00CE1C6A" w:rsidRPr="00DC3EC8">
        <w:rPr>
          <w:lang w:val="en-GB" w:eastAsia="ja-JP"/>
        </w:rPr>
        <w:t xml:space="preserve">an extended period of </w:t>
      </w:r>
      <w:r w:rsidR="00094A96" w:rsidRPr="00DC3EC8">
        <w:rPr>
          <w:lang w:val="en-GB" w:eastAsia="ja-JP"/>
        </w:rPr>
        <w:t>time</w:t>
      </w:r>
      <w:r w:rsidR="00B62A86" w:rsidRPr="00DC3EC8">
        <w:rPr>
          <w:lang w:val="en-GB" w:eastAsia="ja-JP"/>
        </w:rPr>
        <w:t>, in the order of a few seconds.</w:t>
      </w:r>
    </w:p>
    <w:p w14:paraId="6E531248" w14:textId="79E4545C" w:rsidR="00CE1C6A" w:rsidRPr="00DC3EC8" w:rsidRDefault="00CE1C6A" w:rsidP="00CE1C6A">
      <w:pPr>
        <w:rPr>
          <w:lang w:val="en-GB" w:eastAsia="ja-JP"/>
        </w:rPr>
      </w:pPr>
      <w:r w:rsidRPr="00DC3EC8">
        <w:rPr>
          <w:lang w:val="en-GB" w:eastAsia="ja-JP"/>
        </w:rPr>
        <w:t xml:space="preserve">Hence, the NW will need to perform beam management that takes the reduced Tx power into account for as long as the MPE event occurs. Thus, there must be a way to perform NW-controlled beam management during an MPE event. </w:t>
      </w:r>
    </w:p>
    <w:p w14:paraId="77D4BF07" w14:textId="44E65361" w:rsidR="00CE1C6A" w:rsidRPr="00DC3EC8" w:rsidRDefault="005D11FE" w:rsidP="00CE1C6A">
      <w:pPr>
        <w:rPr>
          <w:lang w:val="en-GB" w:eastAsia="ja-JP"/>
        </w:rPr>
      </w:pPr>
      <w:r w:rsidRPr="00DC3EC8">
        <w:rPr>
          <w:lang w:val="en-GB" w:eastAsia="ja-JP"/>
        </w:rPr>
        <w:t xml:space="preserve">NW-controlled beam management consists of (aperiodic, semi-persistent, periodic) measurement reporting and TCI state indication. </w:t>
      </w:r>
      <w:r w:rsidR="00CE1C6A" w:rsidRPr="00DC3EC8">
        <w:rPr>
          <w:lang w:val="en-GB" w:eastAsia="ja-JP"/>
        </w:rPr>
        <w:t xml:space="preserve">As discussed in section 2.4.1, the Rel-17 TCI state signalling provides a way to perform the </w:t>
      </w:r>
      <w:r w:rsidRPr="00DC3EC8">
        <w:rPr>
          <w:lang w:val="en-GB" w:eastAsia="ja-JP"/>
        </w:rPr>
        <w:t xml:space="preserve">TCI state indication </w:t>
      </w:r>
      <w:r w:rsidR="00CE1C6A" w:rsidRPr="00DC3EC8">
        <w:rPr>
          <w:lang w:val="en-GB" w:eastAsia="ja-JP"/>
        </w:rPr>
        <w:t xml:space="preserve">during an MPE event: as long as the NW has information about </w:t>
      </w:r>
      <w:r w:rsidRPr="00DC3EC8">
        <w:rPr>
          <w:lang w:val="en-GB" w:eastAsia="ja-JP"/>
        </w:rPr>
        <w:t>which reference signal corresponds to the best UL panel, the NW can use the TCI state that includes that reference signal to perform the scheduling.</w:t>
      </w:r>
      <w:r w:rsidR="00647EB3" w:rsidRPr="00DC3EC8">
        <w:rPr>
          <w:lang w:val="en-GB" w:eastAsia="ja-JP"/>
        </w:rPr>
        <w:t xml:space="preserve"> However, there is currently no way for the NW to request the UE to provide any report that describes the UL quality.</w:t>
      </w:r>
      <w:r w:rsidR="00BC1125" w:rsidRPr="00DC3EC8">
        <w:rPr>
          <w:lang w:val="en-GB" w:eastAsia="ja-JP"/>
        </w:rPr>
        <w:t xml:space="preserve"> Hence, some improvement to the UE reporting is motivated.</w:t>
      </w:r>
    </w:p>
    <w:p w14:paraId="11F8217A" w14:textId="77777777" w:rsidR="00647EB3" w:rsidRPr="00DC3EC8" w:rsidRDefault="00647EB3" w:rsidP="00647EB3">
      <w:pPr>
        <w:rPr>
          <w:lang w:val="en-GB" w:eastAsia="ja-JP"/>
        </w:rPr>
      </w:pPr>
      <w:r w:rsidRPr="00DC3EC8">
        <w:rPr>
          <w:lang w:val="en-GB" w:eastAsia="ja-JP"/>
        </w:rPr>
        <w:t>There are two main reporting types described in the agreement above:</w:t>
      </w:r>
    </w:p>
    <w:p w14:paraId="7728F259" w14:textId="30FEEF60" w:rsidR="00647EB3" w:rsidRPr="00DC3EC8" w:rsidRDefault="00D76485" w:rsidP="00C4412A">
      <w:pPr>
        <w:pStyle w:val="ListParagraph"/>
        <w:numPr>
          <w:ilvl w:val="0"/>
          <w:numId w:val="28"/>
        </w:numPr>
        <w:rPr>
          <w:rFonts w:ascii="Arial" w:hAnsi="Arial" w:cs="Arial"/>
          <w:sz w:val="20"/>
          <w:szCs w:val="20"/>
          <w:lang w:val="en-GB" w:eastAsia="ja-JP"/>
        </w:rPr>
      </w:pPr>
      <w:r>
        <w:rPr>
          <w:rFonts w:ascii="Arial" w:hAnsi="Arial" w:cs="Arial"/>
          <w:sz w:val="20"/>
          <w:szCs w:val="20"/>
          <w:lang w:val="en-GB" w:eastAsia="ja-JP"/>
        </w:rPr>
        <w:t xml:space="preserve">Opt 1A/1D: </w:t>
      </w:r>
      <w:r w:rsidR="00647EB3" w:rsidRPr="00DC3EC8">
        <w:rPr>
          <w:rFonts w:ascii="Arial" w:hAnsi="Arial" w:cs="Arial"/>
          <w:sz w:val="20"/>
          <w:szCs w:val="20"/>
          <w:lang w:val="en-GB" w:eastAsia="ja-JP"/>
        </w:rPr>
        <w:t>Reporting based on the Rel</w:t>
      </w:r>
      <w:r w:rsidR="001C6928" w:rsidRPr="00DC3EC8">
        <w:rPr>
          <w:rFonts w:ascii="Arial" w:hAnsi="Arial" w:cs="Arial"/>
          <w:sz w:val="20"/>
          <w:szCs w:val="20"/>
          <w:lang w:val="en-GB" w:eastAsia="ja-JP"/>
        </w:rPr>
        <w:t>-</w:t>
      </w:r>
      <w:r w:rsidR="00647EB3" w:rsidRPr="00DC3EC8">
        <w:rPr>
          <w:rFonts w:ascii="Arial" w:hAnsi="Arial" w:cs="Arial"/>
          <w:sz w:val="20"/>
          <w:szCs w:val="20"/>
          <w:lang w:val="en-GB" w:eastAsia="ja-JP"/>
        </w:rPr>
        <w:t>16 P-MPR framework. This is event-triggered: once the UE detects that it has to reduce its Tx power, it</w:t>
      </w:r>
      <w:r w:rsidR="001060F8">
        <w:rPr>
          <w:rFonts w:ascii="Arial" w:hAnsi="Arial" w:cs="Arial"/>
          <w:sz w:val="20"/>
          <w:szCs w:val="20"/>
          <w:lang w:val="en-GB" w:eastAsia="ja-JP"/>
        </w:rPr>
        <w:t xml:space="preserve"> generates a report that describes the situation</w:t>
      </w:r>
      <w:r w:rsidR="00647EB3" w:rsidRPr="00DC3EC8">
        <w:rPr>
          <w:rFonts w:ascii="Arial" w:hAnsi="Arial" w:cs="Arial"/>
          <w:sz w:val="20"/>
          <w:szCs w:val="20"/>
          <w:lang w:val="en-GB" w:eastAsia="ja-JP"/>
        </w:rPr>
        <w:t>.</w:t>
      </w:r>
      <w:r w:rsidR="001060F8">
        <w:rPr>
          <w:rFonts w:ascii="Arial" w:hAnsi="Arial" w:cs="Arial"/>
          <w:sz w:val="20"/>
          <w:szCs w:val="20"/>
          <w:lang w:val="en-GB" w:eastAsia="ja-JP"/>
        </w:rPr>
        <w:t xml:space="preserve"> Note that the actual transmission is performed when the UE is granted UL resources – the UE does not send an SR to send a MAC CE.</w:t>
      </w:r>
      <w:r w:rsidR="00647EB3" w:rsidRPr="00DC3EC8">
        <w:rPr>
          <w:rFonts w:ascii="Arial" w:hAnsi="Arial" w:cs="Arial"/>
          <w:sz w:val="20"/>
          <w:szCs w:val="20"/>
          <w:lang w:val="en-GB" w:eastAsia="ja-JP"/>
        </w:rPr>
        <w:t xml:space="preserve"> </w:t>
      </w:r>
    </w:p>
    <w:p w14:paraId="78E646E6" w14:textId="59590DEF" w:rsidR="00647EB3" w:rsidRPr="00DC3EC8" w:rsidRDefault="00D76485" w:rsidP="00C4412A">
      <w:pPr>
        <w:pStyle w:val="ListParagraph"/>
        <w:numPr>
          <w:ilvl w:val="0"/>
          <w:numId w:val="28"/>
        </w:numPr>
        <w:rPr>
          <w:rFonts w:ascii="Arial" w:hAnsi="Arial" w:cs="Arial"/>
          <w:sz w:val="20"/>
          <w:szCs w:val="20"/>
          <w:lang w:val="en-GB" w:eastAsia="ja-JP"/>
        </w:rPr>
      </w:pPr>
      <w:r>
        <w:rPr>
          <w:rFonts w:ascii="Arial" w:hAnsi="Arial" w:cs="Arial"/>
          <w:sz w:val="20"/>
          <w:szCs w:val="20"/>
          <w:lang w:val="en-GB" w:eastAsia="ja-JP"/>
        </w:rPr>
        <w:t xml:space="preserve">Opt 2A: </w:t>
      </w:r>
      <w:r w:rsidR="00647EB3" w:rsidRPr="00DC3EC8">
        <w:rPr>
          <w:rFonts w:ascii="Arial" w:hAnsi="Arial" w:cs="Arial"/>
          <w:sz w:val="20"/>
          <w:szCs w:val="20"/>
          <w:lang w:val="en-GB" w:eastAsia="ja-JP"/>
        </w:rPr>
        <w:t xml:space="preserve">Reporting of SSBRI/CRI, similar to the L1-RSRP/L1-SINR reporting. Our understanding is that this would introduce a way for the NW to request the UE to provide information about the UL properties of a reference signal.  </w:t>
      </w:r>
    </w:p>
    <w:p w14:paraId="14B6E221" w14:textId="06A6213F" w:rsidR="00647EB3" w:rsidRPr="00DC3EC8" w:rsidRDefault="00647EB3" w:rsidP="00BC1125">
      <w:pPr>
        <w:spacing w:before="120"/>
        <w:rPr>
          <w:lang w:val="en-GB" w:eastAsia="ja-JP"/>
        </w:rPr>
      </w:pPr>
      <w:r w:rsidRPr="00DC3EC8">
        <w:rPr>
          <w:lang w:val="en-GB" w:eastAsia="ja-JP"/>
        </w:rPr>
        <w:t>When comparing the two methods, we realize that only the second option will enable continuous beam management operation: the first option will only provide a report when the MPE event first occurs: after that occurrence, no additional reporting is performed by the UE</w:t>
      </w:r>
      <w:r w:rsidR="00B62A86" w:rsidRPr="00DC3EC8">
        <w:rPr>
          <w:lang w:val="en-GB" w:eastAsia="ja-JP"/>
        </w:rPr>
        <w:t>.</w:t>
      </w:r>
    </w:p>
    <w:p w14:paraId="2B91D5B9" w14:textId="2D0AE875" w:rsidR="00CE1C6A" w:rsidRPr="00DC3EC8" w:rsidRDefault="00647EB3" w:rsidP="00CE1C6A">
      <w:pPr>
        <w:rPr>
          <w:lang w:val="en-GB" w:eastAsia="ja-JP"/>
        </w:rPr>
      </w:pPr>
      <w:r w:rsidRPr="00DC3EC8">
        <w:rPr>
          <w:lang w:val="en-GB" w:eastAsia="ja-JP"/>
        </w:rPr>
        <w:t>Since we have already concluded that continuous reporting is needed to maintain beam management during an MPE event, we propose to first specify an extension to the beam reporting:</w:t>
      </w:r>
    </w:p>
    <w:p w14:paraId="16849823" w14:textId="700B178F" w:rsidR="00647EB3" w:rsidRPr="00DC3EC8" w:rsidRDefault="00647EB3" w:rsidP="000E0F2D">
      <w:pPr>
        <w:pStyle w:val="Proposal"/>
        <w:rPr>
          <w:lang w:val="en-GB"/>
        </w:rPr>
      </w:pPr>
      <w:bookmarkStart w:id="51" w:name="_Ref68075303"/>
      <w:bookmarkStart w:id="52" w:name="_Toc79658954"/>
      <w:r w:rsidRPr="00DC3EC8">
        <w:rPr>
          <w:lang w:val="en-GB"/>
        </w:rPr>
        <w:lastRenderedPageBreak/>
        <w:t xml:space="preserve">Support SSBRI/CRI reporting with a </w:t>
      </w:r>
      <w:r w:rsidR="001C7F9E" w:rsidRPr="00DC3EC8">
        <w:rPr>
          <w:lang w:val="en-GB"/>
        </w:rPr>
        <w:t xml:space="preserve">new </w:t>
      </w:r>
      <w:r w:rsidRPr="00DC3EC8">
        <w:rPr>
          <w:lang w:val="en-GB"/>
        </w:rPr>
        <w:t>reporting quantity that describes properties of an UL transmission that has the reported SSBRI/CRI in the UL TCI state.</w:t>
      </w:r>
      <w:bookmarkEnd w:id="51"/>
      <w:bookmarkEnd w:id="52"/>
    </w:p>
    <w:p w14:paraId="739A7620" w14:textId="2C883D48" w:rsidR="00094A96" w:rsidRPr="00DC3EC8" w:rsidRDefault="001C7F9E" w:rsidP="000C55C5">
      <w:pPr>
        <w:rPr>
          <w:lang w:val="en-GB" w:eastAsia="ja-JP"/>
        </w:rPr>
      </w:pPr>
      <w:r w:rsidRPr="00DC3EC8">
        <w:rPr>
          <w:lang w:val="en-GB" w:eastAsia="ja-JP"/>
        </w:rPr>
        <w:t xml:space="preserve">We thus propose to introduce a new reporting quantity UL-RSRP, in addition to the already existing L1-RSRP and L1-SINR. This reporting quantity </w:t>
      </w:r>
      <w:r w:rsidR="00FD7E2A" w:rsidRPr="00DC3EC8">
        <w:rPr>
          <w:lang w:val="en-GB" w:eastAsia="ja-JP"/>
        </w:rPr>
        <w:t>c</w:t>
      </w:r>
      <w:r w:rsidRPr="00DC3EC8">
        <w:rPr>
          <w:lang w:val="en-GB" w:eastAsia="ja-JP"/>
        </w:rPr>
        <w:t>ould be defined as</w:t>
      </w:r>
    </w:p>
    <w:p w14:paraId="3AB8F838" w14:textId="75DAE5B1" w:rsidR="001C7F9E" w:rsidRPr="00DC3EC8" w:rsidRDefault="001C7F9E" w:rsidP="000C55C5">
      <w:pPr>
        <w:rPr>
          <w:i/>
          <w:iCs/>
          <w:vertAlign w:val="subscript"/>
          <w:lang w:eastAsia="ja-JP"/>
        </w:rPr>
      </w:pPr>
      <w:r w:rsidRPr="00DC3EC8">
        <w:rPr>
          <w:i/>
          <w:iCs/>
          <w:lang w:eastAsia="ja-JP"/>
        </w:rPr>
        <w:t>UL-RSRP = L1-RSRP + P</w:t>
      </w:r>
      <w:r w:rsidRPr="00DC3EC8">
        <w:rPr>
          <w:i/>
          <w:iCs/>
          <w:vertAlign w:val="subscript"/>
          <w:lang w:eastAsia="ja-JP"/>
        </w:rPr>
        <w:t>UL</w:t>
      </w:r>
    </w:p>
    <w:p w14:paraId="52F8E200" w14:textId="5A5D769C" w:rsidR="00DC3EC8" w:rsidRDefault="00AC6727" w:rsidP="000C55C5">
      <w:pPr>
        <w:rPr>
          <w:lang w:val="en-GB" w:eastAsia="ja-JP"/>
        </w:rPr>
      </w:pPr>
      <w:r w:rsidRPr="00DC3EC8">
        <w:rPr>
          <w:lang w:val="en-GB" w:eastAsia="ja-JP"/>
        </w:rPr>
        <w:t>w</w:t>
      </w:r>
      <w:r w:rsidR="001C7F9E" w:rsidRPr="00DC3EC8">
        <w:rPr>
          <w:lang w:val="en-GB" w:eastAsia="ja-JP"/>
        </w:rPr>
        <w:t>here L1-RSRP is the measured DL RSRP</w:t>
      </w:r>
      <w:r w:rsidR="001C7F9E" w:rsidRPr="00DC3EC8">
        <w:rPr>
          <w:lang w:eastAsia="ja-JP"/>
        </w:rPr>
        <w:t>, and</w:t>
      </w:r>
      <w:r w:rsidR="001C7F9E" w:rsidRPr="00DC3EC8">
        <w:rPr>
          <w:i/>
          <w:iCs/>
          <w:lang w:eastAsia="ja-JP"/>
        </w:rPr>
        <w:t xml:space="preserve"> P</w:t>
      </w:r>
      <w:r w:rsidR="001C7F9E" w:rsidRPr="00DC3EC8">
        <w:rPr>
          <w:i/>
          <w:iCs/>
          <w:vertAlign w:val="subscript"/>
          <w:lang w:eastAsia="ja-JP"/>
        </w:rPr>
        <w:t>UL</w:t>
      </w:r>
      <w:r w:rsidR="001C7F9E" w:rsidRPr="00DC3EC8">
        <w:rPr>
          <w:lang w:val="en-GB" w:eastAsia="ja-JP"/>
        </w:rPr>
        <w:t xml:space="preserve"> is the available UL Tx power. Any Tx power reduction </w:t>
      </w:r>
      <w:r w:rsidRPr="00DC3EC8">
        <w:rPr>
          <w:lang w:val="en-GB" w:eastAsia="ja-JP"/>
        </w:rPr>
        <w:t xml:space="preserve">would affect </w:t>
      </w:r>
      <w:r w:rsidRPr="00DC3EC8">
        <w:rPr>
          <w:i/>
          <w:iCs/>
          <w:lang w:eastAsia="ja-JP"/>
        </w:rPr>
        <w:t>P</w:t>
      </w:r>
      <w:r w:rsidRPr="00DC3EC8">
        <w:rPr>
          <w:i/>
          <w:iCs/>
          <w:vertAlign w:val="subscript"/>
          <w:lang w:eastAsia="ja-JP"/>
        </w:rPr>
        <w:t>UL</w:t>
      </w:r>
      <w:r w:rsidRPr="00DC3EC8">
        <w:rPr>
          <w:lang w:val="en-GB" w:eastAsia="ja-JP"/>
        </w:rPr>
        <w:t xml:space="preserve">. </w:t>
      </w:r>
      <w:r w:rsidR="00775F7C" w:rsidRPr="00DC3EC8">
        <w:rPr>
          <w:lang w:val="en-GB" w:eastAsia="ja-JP"/>
        </w:rPr>
        <w:t>We could also consider another normalization of the report.</w:t>
      </w:r>
    </w:p>
    <w:p w14:paraId="7E183C6B" w14:textId="77777777" w:rsidR="00DC3EC8" w:rsidRDefault="00DC3EC8" w:rsidP="000C55C5">
      <w:pPr>
        <w:rPr>
          <w:lang w:val="en-GB" w:eastAsia="ja-JP"/>
        </w:rPr>
      </w:pPr>
      <w:r>
        <w:rPr>
          <w:lang w:val="en-GB" w:eastAsia="ja-JP"/>
        </w:rPr>
        <w:t>Another proposal for a reporting quantity is virtual PHR, (PHR based on a reference PUSCH transmission) as described in 38.213, section 7.7:</w:t>
      </w:r>
    </w:p>
    <w:p w14:paraId="658A9F98" w14:textId="77777777" w:rsidR="00DC3EC8" w:rsidRDefault="00DC3EC8" w:rsidP="000C55C5">
      <w:pPr>
        <w:rPr>
          <w:lang w:val="en-GB" w:eastAsia="ja-JP"/>
        </w:rPr>
      </w:pPr>
      <w:r>
        <w:rPr>
          <w:noProof/>
          <w:position w:val="-12"/>
        </w:rPr>
        <w:drawing>
          <wp:inline distT="0" distB="0" distL="0" distR="0" wp14:anchorId="02D2DB85" wp14:editId="655B5A1A">
            <wp:extent cx="4572000" cy="274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274320"/>
                    </a:xfrm>
                    <a:prstGeom prst="rect">
                      <a:avLst/>
                    </a:prstGeom>
                    <a:noFill/>
                    <a:ln>
                      <a:noFill/>
                    </a:ln>
                  </pic:spPr>
                </pic:pic>
              </a:graphicData>
            </a:graphic>
          </wp:inline>
        </w:drawing>
      </w:r>
    </w:p>
    <w:p w14:paraId="3A0C4303" w14:textId="2DF8E359" w:rsidR="00DC3EC8" w:rsidRDefault="00DC3EC8" w:rsidP="000C55C5">
      <w:pPr>
        <w:rPr>
          <w:lang w:val="en-GB" w:eastAsia="ja-JP"/>
        </w:rPr>
      </w:pPr>
      <w:r>
        <w:rPr>
          <w:lang w:val="en-GB" w:eastAsia="ja-JP"/>
        </w:rPr>
        <w:t xml:space="preserve">In the present definition of vPHR, power reduction due to MPE is not included, and needs to be added. We will now rewrite the vPHR and will drop subscripts for readability. We will also use </w:t>
      </w:r>
      <m:oMath>
        <m:sSub>
          <m:sSubPr>
            <m:ctrlPr>
              <w:rPr>
                <w:rFonts w:ascii="Cambria Math" w:hAnsi="Cambria Math"/>
                <w:i/>
                <w:lang w:val="en-GB" w:eastAsia="ja-JP"/>
              </w:rPr>
            </m:ctrlPr>
          </m:sSubPr>
          <m:e>
            <m:acc>
              <m:accPr>
                <m:chr m:val="̃"/>
                <m:ctrlPr>
                  <w:rPr>
                    <w:rFonts w:ascii="Cambria Math" w:hAnsi="Cambria Math"/>
                    <w:i/>
                    <w:lang w:val="en-GB" w:eastAsia="ja-JP"/>
                  </w:rPr>
                </m:ctrlPr>
              </m:accPr>
              <m:e>
                <m:r>
                  <w:rPr>
                    <w:rFonts w:ascii="Cambria Math" w:hAnsi="Cambria Math"/>
                    <w:lang w:val="en-GB" w:eastAsia="ja-JP"/>
                  </w:rPr>
                  <m:t>P</m:t>
                </m:r>
              </m:e>
            </m:acc>
          </m:e>
          <m:sub>
            <m:r>
              <w:rPr>
                <w:rFonts w:ascii="Cambria Math" w:hAnsi="Cambria Math"/>
                <w:lang w:val="en-GB" w:eastAsia="ja-JP"/>
              </w:rPr>
              <m:t>CMAX</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UL</m:t>
            </m:r>
          </m:sub>
        </m:sSub>
      </m:oMath>
      <w:r>
        <w:rPr>
          <w:rFonts w:eastAsiaTheme="minorEastAsia"/>
          <w:lang w:val="en-GB" w:eastAsia="ja-JP"/>
        </w:rPr>
        <w:t>.</w:t>
      </w:r>
      <w:r>
        <w:rPr>
          <w:lang w:val="en-GB" w:eastAsia="ja-JP"/>
        </w:rPr>
        <w:t xml:space="preserve"> Since </w:t>
      </w:r>
    </w:p>
    <w:p w14:paraId="0F86F919" w14:textId="0063D622" w:rsidR="00DC3EC8" w:rsidRDefault="00DC3EC8" w:rsidP="000C55C5">
      <w:pPr>
        <w:rPr>
          <w:lang w:val="en-GB" w:eastAsia="ja-JP"/>
        </w:rPr>
      </w:pPr>
      <m:oMathPara>
        <m:oMath>
          <m:r>
            <w:rPr>
              <w:rFonts w:ascii="Cambria Math" w:hAnsi="Cambria Math"/>
              <w:lang w:val="en-GB" w:eastAsia="ja-JP"/>
            </w:rPr>
            <m:t>PL=</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DL</m:t>
              </m:r>
            </m:sub>
          </m:sSub>
          <m:r>
            <w:rPr>
              <w:rFonts w:ascii="Cambria Math" w:hAnsi="Cambria Math"/>
              <w:lang w:val="en-GB" w:eastAsia="ja-JP"/>
            </w:rPr>
            <m:t xml:space="preserve">- </m:t>
          </m:r>
          <m:r>
            <m:rPr>
              <m:nor/>
            </m:rPr>
            <w:rPr>
              <w:rFonts w:ascii="Cambria Math" w:hAnsi="Cambria Math"/>
              <w:lang w:val="en-GB" w:eastAsia="ja-JP"/>
            </w:rPr>
            <m:t>L1-RSRP</m:t>
          </m:r>
        </m:oMath>
      </m:oMathPara>
    </w:p>
    <w:p w14:paraId="505A7EC5" w14:textId="22E21281" w:rsidR="00DC3EC8" w:rsidRDefault="00DC3EC8" w:rsidP="000C55C5">
      <w:pPr>
        <w:rPr>
          <w:lang w:val="en-GB" w:eastAsia="ja-JP"/>
        </w:rPr>
      </w:pPr>
      <w:r>
        <w:rPr>
          <w:lang w:val="en-GB" w:eastAsia="ja-JP"/>
        </w:rPr>
        <w:t>we get</w:t>
      </w:r>
    </w:p>
    <w:p w14:paraId="55EC9D0E" w14:textId="2528B0B3" w:rsidR="00DC3EC8" w:rsidRDefault="00DC3EC8" w:rsidP="000C55C5">
      <w:pPr>
        <w:rPr>
          <w:lang w:val="en-GB" w:eastAsia="ja-JP"/>
        </w:rPr>
      </w:pPr>
      <m:oMathPara>
        <m:oMath>
          <m:r>
            <w:rPr>
              <w:rFonts w:ascii="Cambria Math" w:hAnsi="Cambria Math"/>
              <w:lang w:val="en-GB" w:eastAsia="ja-JP"/>
            </w:rPr>
            <m:t>PH=</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UL</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P</m:t>
              </m:r>
            </m:e>
            <m:sub>
              <m:sSub>
                <m:sSubPr>
                  <m:ctrlPr>
                    <w:rPr>
                      <w:rFonts w:ascii="Cambria Math" w:hAnsi="Cambria Math"/>
                      <w:i/>
                      <w:lang w:val="en-GB" w:eastAsia="ja-JP"/>
                    </w:rPr>
                  </m:ctrlPr>
                </m:sSubPr>
                <m:e>
                  <m:r>
                    <w:rPr>
                      <w:rFonts w:ascii="Cambria Math" w:hAnsi="Cambria Math"/>
                      <w:lang w:val="en-GB" w:eastAsia="ja-JP"/>
                    </w:rPr>
                    <m:t>O</m:t>
                  </m:r>
                </m:e>
                <m:sub>
                  <m:r>
                    <w:rPr>
                      <w:rFonts w:ascii="Cambria Math" w:hAnsi="Cambria Math"/>
                      <w:lang w:val="en-GB" w:eastAsia="ja-JP"/>
                    </w:rPr>
                    <m:t>PUSCH</m:t>
                  </m:r>
                </m:sub>
              </m:sSub>
            </m:sub>
          </m:sSub>
          <m:r>
            <w:rPr>
              <w:rFonts w:ascii="Cambria Math" w:hAnsi="Cambria Math"/>
              <w:lang w:val="en-GB" w:eastAsia="ja-JP"/>
            </w:rPr>
            <m:t>- α×</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DL</m:t>
              </m:r>
            </m:sub>
          </m:sSub>
          <m:r>
            <w:rPr>
              <w:rFonts w:ascii="Cambria Math" w:hAnsi="Cambria Math"/>
              <w:lang w:val="en-GB" w:eastAsia="ja-JP"/>
            </w:rPr>
            <m:t>+α×</m:t>
          </m:r>
          <m:r>
            <m:rPr>
              <m:nor/>
            </m:rPr>
            <w:rPr>
              <w:rFonts w:ascii="Cambria Math" w:hAnsi="Cambria Math"/>
              <w:lang w:val="en-GB" w:eastAsia="ja-JP"/>
            </w:rPr>
            <m:t>L1-RSRP</m:t>
          </m:r>
          <m:r>
            <w:rPr>
              <w:rFonts w:ascii="Cambria Math" w:hAnsi="Cambria Math"/>
              <w:lang w:val="en-GB" w:eastAsia="ja-JP"/>
            </w:rPr>
            <m:t>+f</m:t>
          </m:r>
        </m:oMath>
      </m:oMathPara>
    </w:p>
    <w:p w14:paraId="4DFB46E5" w14:textId="37943A29" w:rsidR="00DC3EC8" w:rsidRDefault="00513867" w:rsidP="000C55C5">
      <w:pPr>
        <w:rPr>
          <w:lang w:val="en-GB" w:eastAsia="ja-JP"/>
        </w:rPr>
      </w:pPr>
      <w:r>
        <w:rPr>
          <w:lang w:val="en-GB" w:eastAsia="ja-JP"/>
        </w:rPr>
        <w:t xml:space="preserve">This can be rewritten as </w:t>
      </w:r>
    </w:p>
    <w:p w14:paraId="2114161B" w14:textId="70C05C71" w:rsidR="00513867" w:rsidRDefault="00513867" w:rsidP="00513867">
      <w:pPr>
        <w:rPr>
          <w:lang w:val="en-GB" w:eastAsia="ja-JP"/>
        </w:rPr>
      </w:pPr>
      <m:oMathPara>
        <m:oMath>
          <m:r>
            <w:rPr>
              <w:rFonts w:ascii="Cambria Math" w:hAnsi="Cambria Math"/>
              <w:lang w:val="en-GB" w:eastAsia="ja-JP"/>
            </w:rPr>
            <m:t>PH=</m:t>
          </m:r>
          <m:r>
            <m:rPr>
              <m:nor/>
            </m:rPr>
            <w:rPr>
              <w:rFonts w:ascii="Cambria Math" w:hAnsi="Cambria Math"/>
              <w:lang w:val="en-GB" w:eastAsia="ja-JP"/>
            </w:rPr>
            <m:t xml:space="preserve">L1-RSRP + </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UL</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P</m:t>
              </m:r>
            </m:e>
            <m:sub>
              <m:sSub>
                <m:sSubPr>
                  <m:ctrlPr>
                    <w:rPr>
                      <w:rFonts w:ascii="Cambria Math" w:hAnsi="Cambria Math"/>
                      <w:i/>
                      <w:lang w:val="en-GB" w:eastAsia="ja-JP"/>
                    </w:rPr>
                  </m:ctrlPr>
                </m:sSubPr>
                <m:e>
                  <m:r>
                    <w:rPr>
                      <w:rFonts w:ascii="Cambria Math" w:hAnsi="Cambria Math"/>
                      <w:lang w:val="en-GB" w:eastAsia="ja-JP"/>
                    </w:rPr>
                    <m:t>O</m:t>
                  </m:r>
                </m:e>
                <m:sub>
                  <m:r>
                    <w:rPr>
                      <w:rFonts w:ascii="Cambria Math" w:hAnsi="Cambria Math"/>
                      <w:lang w:val="en-GB" w:eastAsia="ja-JP"/>
                    </w:rPr>
                    <m:t>PUSCH</m:t>
                  </m:r>
                </m:sub>
              </m:sSub>
            </m:sub>
          </m:sSub>
          <m:r>
            <w:rPr>
              <w:rFonts w:ascii="Cambria Math" w:hAnsi="Cambria Math"/>
              <w:lang w:val="en-GB" w:eastAsia="ja-JP"/>
            </w:rPr>
            <m:t>- α×</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DL</m:t>
              </m:r>
            </m:sub>
          </m:sSub>
          <m:r>
            <w:rPr>
              <w:rFonts w:ascii="Cambria Math" w:hAnsi="Cambria Math"/>
              <w:lang w:val="en-GB" w:eastAsia="ja-JP"/>
            </w:rPr>
            <m:t>+f-(1-α)×</m:t>
          </m:r>
          <m:r>
            <m:rPr>
              <m:nor/>
            </m:rPr>
            <w:rPr>
              <w:rFonts w:ascii="Cambria Math" w:hAnsi="Cambria Math"/>
              <w:lang w:val="en-GB" w:eastAsia="ja-JP"/>
            </w:rPr>
            <m:t>L1-RSRP</m:t>
          </m:r>
        </m:oMath>
      </m:oMathPara>
    </w:p>
    <w:p w14:paraId="25D541C1" w14:textId="062FABA2" w:rsidR="00513867" w:rsidRDefault="00513867" w:rsidP="00513867">
      <w:pPr>
        <w:rPr>
          <w:rFonts w:eastAsiaTheme="minorEastAsia"/>
          <w:lang w:val="en-GB" w:eastAsia="ja-JP"/>
        </w:rPr>
      </w:pPr>
      <w:r w:rsidRPr="00513867">
        <w:rPr>
          <w:lang w:val="en-GB" w:eastAsia="ja-JP"/>
        </w:rPr>
        <w:t>We now</w:t>
      </w:r>
      <w:r>
        <w:rPr>
          <w:lang w:val="en-GB" w:eastAsia="ja-JP"/>
        </w:rPr>
        <w:t xml:space="preserve"> realize that </w:t>
      </w:r>
      <m:oMath>
        <m:r>
          <m:rPr>
            <m:nor/>
          </m:rPr>
          <w:rPr>
            <w:rFonts w:ascii="Cambria Math" w:hAnsi="Cambria Math"/>
            <w:lang w:val="en-GB" w:eastAsia="ja-JP"/>
          </w:rPr>
          <m:t xml:space="preserve">L1-RSRP + </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UL</m:t>
            </m:r>
          </m:sub>
        </m:sSub>
        <m:r>
          <w:rPr>
            <w:rFonts w:ascii="Cambria Math" w:hAnsi="Cambria Math"/>
            <w:lang w:val="en-GB" w:eastAsia="ja-JP"/>
          </w:rPr>
          <m:t xml:space="preserve">= </m:t>
        </m:r>
        <m:r>
          <m:rPr>
            <m:nor/>
          </m:rPr>
          <w:rPr>
            <w:rFonts w:ascii="Cambria Math" w:hAnsi="Cambria Math"/>
            <w:lang w:val="en-GB" w:eastAsia="ja-JP"/>
          </w:rPr>
          <m:t>UL-RSRP</m:t>
        </m:r>
      </m:oMath>
      <w:r>
        <w:rPr>
          <w:lang w:val="en-GB" w:eastAsia="ja-JP"/>
        </w:rPr>
        <w:t xml:space="preserve"> and that </w:t>
      </w:r>
      <m:oMath>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P</m:t>
            </m:r>
          </m:e>
          <m:sub>
            <m:sSub>
              <m:sSubPr>
                <m:ctrlPr>
                  <w:rPr>
                    <w:rFonts w:ascii="Cambria Math" w:hAnsi="Cambria Math"/>
                    <w:i/>
                    <w:lang w:val="en-GB" w:eastAsia="ja-JP"/>
                  </w:rPr>
                </m:ctrlPr>
              </m:sSubPr>
              <m:e>
                <m:r>
                  <w:rPr>
                    <w:rFonts w:ascii="Cambria Math" w:hAnsi="Cambria Math"/>
                    <w:lang w:val="en-GB" w:eastAsia="ja-JP"/>
                  </w:rPr>
                  <m:t>O</m:t>
                </m:r>
              </m:e>
              <m:sub>
                <m:r>
                  <w:rPr>
                    <w:rFonts w:ascii="Cambria Math" w:hAnsi="Cambria Math"/>
                    <w:lang w:val="en-GB" w:eastAsia="ja-JP"/>
                  </w:rPr>
                  <m:t>PUSCH</m:t>
                </m:r>
              </m:sub>
            </m:sSub>
          </m:sub>
        </m:sSub>
        <m:r>
          <w:rPr>
            <w:rFonts w:ascii="Cambria Math" w:hAnsi="Cambria Math"/>
            <w:lang w:val="en-GB" w:eastAsia="ja-JP"/>
          </w:rPr>
          <m:t>- α×</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DL</m:t>
            </m:r>
          </m:sub>
        </m:sSub>
        <m:r>
          <w:rPr>
            <w:rFonts w:ascii="Cambria Math" w:hAnsi="Cambria Math"/>
            <w:lang w:val="en-GB" w:eastAsia="ja-JP"/>
          </w:rPr>
          <m:t>+f</m:t>
        </m:r>
      </m:oMath>
      <w:r>
        <w:rPr>
          <w:rFonts w:eastAsiaTheme="minorEastAsia"/>
          <w:lang w:val="en-GB" w:eastAsia="ja-JP"/>
        </w:rPr>
        <w:t xml:space="preserve"> is independent of the selected beam. If there is a difference between beam selection based on UL-RSRP and vPHR, it comes from the term </w:t>
      </w:r>
      <m:oMath>
        <m:r>
          <w:rPr>
            <w:rFonts w:ascii="Cambria Math" w:hAnsi="Cambria Math"/>
            <w:lang w:val="en-GB" w:eastAsia="ja-JP"/>
          </w:rPr>
          <m:t>(1-α)×</m:t>
        </m:r>
        <m:r>
          <m:rPr>
            <m:nor/>
          </m:rPr>
          <w:rPr>
            <w:rFonts w:ascii="Cambria Math" w:hAnsi="Cambria Math"/>
            <w:lang w:val="en-GB" w:eastAsia="ja-JP"/>
          </w:rPr>
          <m:t>L1-RSRP</m:t>
        </m:r>
      </m:oMath>
      <w:r>
        <w:rPr>
          <w:rFonts w:eastAsiaTheme="minorEastAsia"/>
          <w:lang w:val="en-GB" w:eastAsia="ja-JP"/>
        </w:rPr>
        <w:t xml:space="preserve">. Of course, for </w:t>
      </w:r>
      <w:r>
        <w:rPr>
          <w:rFonts w:eastAsiaTheme="minorEastAsia" w:cs="Arial"/>
          <w:lang w:val="en-GB" w:eastAsia="ja-JP"/>
        </w:rPr>
        <w:t>α</w:t>
      </w:r>
      <w:r>
        <w:rPr>
          <w:rFonts w:eastAsiaTheme="minorEastAsia"/>
          <w:lang w:val="en-GB" w:eastAsia="ja-JP"/>
        </w:rPr>
        <w:t>=1, there is no difference.</w:t>
      </w:r>
    </w:p>
    <w:p w14:paraId="6DD821F1" w14:textId="0A62BDB1" w:rsidR="00AB11B0" w:rsidRDefault="00AB11B0" w:rsidP="00513867">
      <w:pPr>
        <w:rPr>
          <w:rFonts w:eastAsiaTheme="minorEastAsia"/>
          <w:lang w:val="en-GB" w:eastAsia="ja-JP"/>
        </w:rPr>
      </w:pPr>
      <w:r>
        <w:rPr>
          <w:rFonts w:eastAsiaTheme="minorEastAsia"/>
          <w:lang w:val="en-GB" w:eastAsia="ja-JP"/>
        </w:rPr>
        <w:t xml:space="preserve">Comparing UL-RSRP and vPHR, we realize that UL-RSRP is (a little) simpler to calculate. It is also simpler to specify, since we can readily reuse the reporting format for L1-RSRP regarding quantization and bitwidths. Therefore we propose </w:t>
      </w:r>
    </w:p>
    <w:p w14:paraId="0913DCB6" w14:textId="52F82CCF" w:rsidR="00AB11B0" w:rsidRDefault="00AB11B0" w:rsidP="00AB11B0">
      <w:pPr>
        <w:pStyle w:val="Proposal"/>
        <w:rPr>
          <w:lang w:val="en-GB" w:eastAsia="ja-JP"/>
        </w:rPr>
      </w:pPr>
      <w:bookmarkStart w:id="53" w:name="_Toc79658955"/>
      <w:r>
        <w:rPr>
          <w:lang w:val="en-GB" w:eastAsia="ja-JP"/>
        </w:rPr>
        <w:t xml:space="preserve">Introduce </w:t>
      </w:r>
      <w:r w:rsidRPr="00AB11B0">
        <w:rPr>
          <w:lang w:val="en-GB" w:eastAsia="ja-JP"/>
        </w:rPr>
        <w:t>UL-RSRP = L1-RSRP + PUL</w:t>
      </w:r>
      <w:r>
        <w:rPr>
          <w:lang w:val="en-GB" w:eastAsia="ja-JP"/>
        </w:rPr>
        <w:t xml:space="preserve"> as a new reporting quantity in the CSI framework.</w:t>
      </w:r>
      <w:bookmarkEnd w:id="53"/>
      <w:r>
        <w:rPr>
          <w:lang w:val="en-GB" w:eastAsia="ja-JP"/>
        </w:rPr>
        <w:t xml:space="preserve"> </w:t>
      </w:r>
    </w:p>
    <w:p w14:paraId="5448F97B" w14:textId="76355F7B" w:rsidR="00284FA5" w:rsidRPr="00DC3EC8" w:rsidRDefault="00284FA5" w:rsidP="000C55C5">
      <w:pPr>
        <w:rPr>
          <w:lang w:val="en-GB" w:eastAsia="ja-JP"/>
        </w:rPr>
      </w:pPr>
      <w:r w:rsidRPr="00DC3EC8">
        <w:rPr>
          <w:lang w:val="en-GB" w:eastAsia="ja-JP"/>
        </w:rPr>
        <w:t xml:space="preserve">Note that the </w:t>
      </w:r>
      <w:r w:rsidR="00AB11B0">
        <w:rPr>
          <w:lang w:val="en-GB" w:eastAsia="ja-JP"/>
        </w:rPr>
        <w:t>Rel-15/1</w:t>
      </w:r>
      <w:r w:rsidR="00D76485">
        <w:rPr>
          <w:lang w:val="en-GB" w:eastAsia="ja-JP"/>
        </w:rPr>
        <w:t>6</w:t>
      </w:r>
      <w:r w:rsidR="00AB11B0">
        <w:rPr>
          <w:lang w:val="en-GB" w:eastAsia="ja-JP"/>
        </w:rPr>
        <w:t xml:space="preserve"> </w:t>
      </w:r>
      <w:r w:rsidRPr="00DC3EC8">
        <w:rPr>
          <w:lang w:val="en-GB" w:eastAsia="ja-JP"/>
        </w:rPr>
        <w:t xml:space="preserve">beam report contains the N beams with the highest L1-RSRP/L1-SINR. This selection ensures that the NW receives information about the most suitable beams. This is important to </w:t>
      </w:r>
      <w:r w:rsidR="00D76485" w:rsidRPr="00DC3EC8">
        <w:rPr>
          <w:lang w:val="en-GB" w:eastAsia="ja-JP"/>
        </w:rPr>
        <w:t>consider</w:t>
      </w:r>
      <w:r w:rsidRPr="00DC3EC8">
        <w:rPr>
          <w:lang w:val="en-GB" w:eastAsia="ja-JP"/>
        </w:rPr>
        <w:t xml:space="preserve"> also in the beam reporting that takes MPE into account. In other words, it is not sufficient to </w:t>
      </w:r>
      <w:r w:rsidR="00012F56" w:rsidRPr="00DC3EC8">
        <w:rPr>
          <w:lang w:val="en-GB" w:eastAsia="ja-JP"/>
        </w:rPr>
        <w:t xml:space="preserve">amend the </w:t>
      </w:r>
      <w:r w:rsidRPr="00DC3EC8">
        <w:rPr>
          <w:lang w:val="en-GB" w:eastAsia="ja-JP"/>
        </w:rPr>
        <w:t xml:space="preserve">L1-RSRP </w:t>
      </w:r>
      <w:r w:rsidR="00012F56" w:rsidRPr="00DC3EC8">
        <w:rPr>
          <w:lang w:val="en-GB" w:eastAsia="ja-JP"/>
        </w:rPr>
        <w:t xml:space="preserve">report with a per-beam </w:t>
      </w:r>
      <w:r w:rsidR="00AB11B0">
        <w:rPr>
          <w:lang w:val="en-GB" w:eastAsia="ja-JP"/>
        </w:rPr>
        <w:t>UL quantity</w:t>
      </w:r>
      <w:r w:rsidR="00012F56" w:rsidRPr="00DC3EC8">
        <w:rPr>
          <w:lang w:val="en-GB" w:eastAsia="ja-JP"/>
        </w:rPr>
        <w:t>, since that will lead to that only the best DL beams are reported:</w:t>
      </w:r>
    </w:p>
    <w:p w14:paraId="055CF9C4" w14:textId="394A8BB5" w:rsidR="00284FA5" w:rsidRPr="00DC3EC8" w:rsidRDefault="00012F56" w:rsidP="00012F56">
      <w:pPr>
        <w:pStyle w:val="Observation"/>
        <w:rPr>
          <w:lang w:val="en-GB"/>
        </w:rPr>
      </w:pPr>
      <w:bookmarkStart w:id="54" w:name="_Toc79658921"/>
      <w:r w:rsidRPr="00DC3EC8">
        <w:rPr>
          <w:lang w:val="en-GB"/>
        </w:rPr>
        <w:t>If the UE still reports the N beams with the best L1-RSRP, there is little chance that measurements from both panels are included, even if there is an MPE event.</w:t>
      </w:r>
      <w:bookmarkEnd w:id="54"/>
    </w:p>
    <w:p w14:paraId="26D7D86C" w14:textId="4A682AC2" w:rsidR="00E376B5" w:rsidRDefault="00E376B5" w:rsidP="000C55C5">
      <w:pPr>
        <w:rPr>
          <w:lang w:val="en-GB" w:eastAsia="ja-JP"/>
        </w:rPr>
      </w:pPr>
      <w:r>
        <w:rPr>
          <w:lang w:val="en-GB" w:eastAsia="ja-JP"/>
        </w:rPr>
        <w:t xml:space="preserve">To further illustrate this effect, we have performed a system simulation using the agreed EVMs for MPE simulations. For each UE, the best panel was covered, and the beams with the 4 highest (DL-)RSRP measurement are recorded. </w:t>
      </w:r>
      <w:r w:rsidR="00672DFC">
        <w:rPr>
          <w:lang w:val="en-GB" w:eastAsia="ja-JP"/>
        </w:rPr>
        <w:t>We also log the beam that is most suitable for UL transmission, taking the P-MPR into account. We then check for which UEs the beam that is most suitable for UL transmission is among the beams with the highest DL-RSRP</w:t>
      </w:r>
      <w:r>
        <w:rPr>
          <w:lang w:val="en-GB" w:eastAsia="ja-JP"/>
        </w:rPr>
        <w:t xml:space="preserve"> </w:t>
      </w:r>
      <w:r w:rsidR="00067AF1">
        <w:rPr>
          <w:lang w:val="en-GB" w:eastAsia="ja-JP"/>
        </w:rPr>
        <w:t xml:space="preserve">for 1, 2, 3 and 4 DL beams. The result is depicted in </w:t>
      </w:r>
      <w:r w:rsidR="00067AF1">
        <w:rPr>
          <w:lang w:val="en-GB" w:eastAsia="ja-JP"/>
        </w:rPr>
        <w:fldChar w:fldCharType="begin"/>
      </w:r>
      <w:r w:rsidR="00067AF1">
        <w:rPr>
          <w:lang w:val="en-GB" w:eastAsia="ja-JP"/>
        </w:rPr>
        <w:instrText xml:space="preserve"> REF _Ref79567935 \h </w:instrText>
      </w:r>
      <w:r w:rsidR="00067AF1">
        <w:rPr>
          <w:lang w:val="en-GB" w:eastAsia="ja-JP"/>
        </w:rPr>
      </w:r>
      <w:r w:rsidR="00067AF1">
        <w:rPr>
          <w:lang w:val="en-GB" w:eastAsia="ja-JP"/>
        </w:rPr>
        <w:fldChar w:fldCharType="separate"/>
      </w:r>
      <w:r w:rsidR="004F6468" w:rsidRPr="00DC3EC8">
        <w:t xml:space="preserve">Figure </w:t>
      </w:r>
      <w:r w:rsidR="004F6468">
        <w:rPr>
          <w:noProof/>
        </w:rPr>
        <w:t>2</w:t>
      </w:r>
      <w:r w:rsidR="00067AF1">
        <w:rPr>
          <w:lang w:val="en-GB" w:eastAsia="ja-JP"/>
        </w:rPr>
        <w:fldChar w:fldCharType="end"/>
      </w:r>
      <w:r w:rsidR="00067AF1">
        <w:rPr>
          <w:lang w:val="en-GB" w:eastAsia="ja-JP"/>
        </w:rPr>
        <w:t>.</w:t>
      </w:r>
    </w:p>
    <w:p w14:paraId="7E25E1C8" w14:textId="678BC3CD" w:rsidR="00067AF1" w:rsidRPr="00DC3EC8" w:rsidRDefault="002A150C" w:rsidP="00067AF1">
      <w:pPr>
        <w:jc w:val="center"/>
        <w:rPr>
          <w:lang w:val="en-GB" w:eastAsia="ja-JP"/>
        </w:rPr>
      </w:pPr>
      <w:r w:rsidRPr="002A150C">
        <w:rPr>
          <w:noProof/>
          <w:lang w:val="en-GB" w:eastAsia="ja-JP"/>
        </w:rPr>
        <w:lastRenderedPageBreak/>
        <w:drawing>
          <wp:inline distT="0" distB="0" distL="0" distR="0" wp14:anchorId="413E5FDD" wp14:editId="70A84490">
            <wp:extent cx="6120765" cy="31832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3183255"/>
                    </a:xfrm>
                    <a:prstGeom prst="rect">
                      <a:avLst/>
                    </a:prstGeom>
                    <a:noFill/>
                    <a:ln>
                      <a:noFill/>
                    </a:ln>
                  </pic:spPr>
                </pic:pic>
              </a:graphicData>
            </a:graphic>
          </wp:inline>
        </w:drawing>
      </w:r>
    </w:p>
    <w:p w14:paraId="0E53C226" w14:textId="568EEA06" w:rsidR="00067AF1" w:rsidRPr="00DC3EC8" w:rsidRDefault="00067AF1" w:rsidP="00067AF1">
      <w:pPr>
        <w:pStyle w:val="TF"/>
        <w:rPr>
          <w:lang w:val="en-US"/>
        </w:rPr>
      </w:pPr>
      <w:bookmarkStart w:id="55" w:name="_Ref79567935"/>
      <w:r w:rsidRPr="00DC3EC8">
        <w:t xml:space="preserve">Figure </w:t>
      </w:r>
      <w:r w:rsidRPr="00DC3EC8">
        <w:fldChar w:fldCharType="begin"/>
      </w:r>
      <w:r w:rsidRPr="00DC3EC8">
        <w:instrText xml:space="preserve"> SEQ Figure \* ARABIC </w:instrText>
      </w:r>
      <w:r w:rsidRPr="00DC3EC8">
        <w:fldChar w:fldCharType="separate"/>
      </w:r>
      <w:r w:rsidR="004F6468">
        <w:rPr>
          <w:noProof/>
        </w:rPr>
        <w:t>2</w:t>
      </w:r>
      <w:r w:rsidRPr="00DC3EC8">
        <w:rPr>
          <w:noProof/>
        </w:rPr>
        <w:fldChar w:fldCharType="end"/>
      </w:r>
      <w:bookmarkEnd w:id="55"/>
      <w:r w:rsidRPr="00DC3EC8">
        <w:t xml:space="preserve">: </w:t>
      </w:r>
      <w:r>
        <w:rPr>
          <w:lang w:val="en-US"/>
        </w:rPr>
        <w:t>Probability that the best UL beam is among the best DL beams for 1, 2, 3 and 4 DL beams.</w:t>
      </w:r>
    </w:p>
    <w:p w14:paraId="2D84EF36" w14:textId="60B0F0D5" w:rsidR="00067AF1" w:rsidRPr="00067AF1" w:rsidRDefault="00067AF1" w:rsidP="000C55C5">
      <w:pPr>
        <w:rPr>
          <w:lang w:eastAsia="ja-JP"/>
        </w:rPr>
      </w:pPr>
      <w:r>
        <w:rPr>
          <w:lang w:eastAsia="ja-JP"/>
        </w:rPr>
        <w:t xml:space="preserve">From </w:t>
      </w:r>
      <w:r>
        <w:rPr>
          <w:lang w:eastAsia="ja-JP"/>
        </w:rPr>
        <w:fldChar w:fldCharType="begin"/>
      </w:r>
      <w:r>
        <w:rPr>
          <w:lang w:eastAsia="ja-JP"/>
        </w:rPr>
        <w:instrText xml:space="preserve"> REF _Ref79567935 \h </w:instrText>
      </w:r>
      <w:r>
        <w:rPr>
          <w:lang w:eastAsia="ja-JP"/>
        </w:rPr>
      </w:r>
      <w:r>
        <w:rPr>
          <w:lang w:eastAsia="ja-JP"/>
        </w:rPr>
        <w:fldChar w:fldCharType="separate"/>
      </w:r>
      <w:r w:rsidR="004F6468" w:rsidRPr="00DC3EC8">
        <w:t xml:space="preserve">Figure </w:t>
      </w:r>
      <w:r w:rsidR="004F6468">
        <w:rPr>
          <w:noProof/>
        </w:rPr>
        <w:t>2</w:t>
      </w:r>
      <w:r>
        <w:rPr>
          <w:lang w:eastAsia="ja-JP"/>
        </w:rPr>
        <w:fldChar w:fldCharType="end"/>
      </w:r>
      <w:r>
        <w:rPr>
          <w:lang w:eastAsia="ja-JP"/>
        </w:rPr>
        <w:t xml:space="preserve">, we see that even with 4 reported DL beams, in </w:t>
      </w:r>
      <w:r w:rsidR="002A150C">
        <w:rPr>
          <w:lang w:eastAsia="ja-JP"/>
        </w:rPr>
        <w:t>14</w:t>
      </w:r>
      <w:r>
        <w:rPr>
          <w:lang w:eastAsia="ja-JP"/>
        </w:rPr>
        <w:t>% of the cases, the best DL beam is not reported. This illustrates that there is a big risk that a report that selects beams based on DL quality will not report the relevant UL beams.</w:t>
      </w:r>
      <w:r w:rsidR="002A150C">
        <w:rPr>
          <w:lang w:eastAsia="ja-JP"/>
        </w:rPr>
        <w:t xml:space="preserve"> We also note that in 66% of the cases, the best UL beam and the best DL beam are the same.</w:t>
      </w:r>
    </w:p>
    <w:p w14:paraId="20050EDB" w14:textId="3EF61E15" w:rsidR="00AC6727" w:rsidRPr="00DC3EC8" w:rsidRDefault="00AC6727" w:rsidP="000C55C5">
      <w:pPr>
        <w:rPr>
          <w:lang w:val="en-GB" w:eastAsia="ja-JP"/>
        </w:rPr>
      </w:pPr>
      <w:r w:rsidRPr="00DC3EC8">
        <w:rPr>
          <w:lang w:val="en-GB" w:eastAsia="ja-JP"/>
        </w:rPr>
        <w:t>If the NW becomes aware of an MPE event, it will request UL-RSRP reports from the UE and could take the Tx power reduction in subsequent scheduling decisions. We note that the Rel</w:t>
      </w:r>
      <w:r w:rsidR="00775F7C" w:rsidRPr="00DC3EC8">
        <w:rPr>
          <w:lang w:val="en-GB" w:eastAsia="ja-JP"/>
        </w:rPr>
        <w:t>-</w:t>
      </w:r>
      <w:r w:rsidRPr="00DC3EC8">
        <w:rPr>
          <w:lang w:val="en-GB" w:eastAsia="ja-JP"/>
        </w:rPr>
        <w:t xml:space="preserve">16 P-MPR reporting framework gives the UE the possibility to inform that an MPE event occurs. A simplistic block diagram </w:t>
      </w:r>
      <w:r w:rsidR="00775F7C" w:rsidRPr="00DC3EC8">
        <w:rPr>
          <w:lang w:val="en-GB" w:eastAsia="ja-JP"/>
        </w:rPr>
        <w:t xml:space="preserve">of the full procedure </w:t>
      </w:r>
      <w:r w:rsidRPr="00DC3EC8">
        <w:rPr>
          <w:lang w:val="en-GB" w:eastAsia="ja-JP"/>
        </w:rPr>
        <w:t xml:space="preserve">is provided in </w:t>
      </w:r>
      <w:r w:rsidRPr="00DC3EC8">
        <w:rPr>
          <w:lang w:val="en-GB" w:eastAsia="ja-JP"/>
        </w:rPr>
        <w:fldChar w:fldCharType="begin"/>
      </w:r>
      <w:r w:rsidRPr="00DC3EC8">
        <w:rPr>
          <w:lang w:val="en-GB" w:eastAsia="ja-JP"/>
        </w:rPr>
        <w:instrText xml:space="preserve"> REF _Ref68075134 \h </w:instrText>
      </w:r>
      <w:r w:rsidR="00797F46" w:rsidRPr="00DC3EC8">
        <w:rPr>
          <w:lang w:val="en-GB" w:eastAsia="ja-JP"/>
        </w:rPr>
        <w:instrText xml:space="preserve"> \* MERGEFORMAT </w:instrText>
      </w:r>
      <w:r w:rsidRPr="00DC3EC8">
        <w:rPr>
          <w:lang w:val="en-GB" w:eastAsia="ja-JP"/>
        </w:rPr>
      </w:r>
      <w:r w:rsidRPr="00DC3EC8">
        <w:rPr>
          <w:lang w:val="en-GB" w:eastAsia="ja-JP"/>
        </w:rPr>
        <w:fldChar w:fldCharType="separate"/>
      </w:r>
      <w:r w:rsidR="004F6468" w:rsidRPr="00DC3EC8">
        <w:t xml:space="preserve">Figure </w:t>
      </w:r>
      <w:r w:rsidR="004F6468">
        <w:rPr>
          <w:noProof/>
        </w:rPr>
        <w:t>3</w:t>
      </w:r>
      <w:r w:rsidRPr="00DC3EC8">
        <w:rPr>
          <w:lang w:val="en-GB" w:eastAsia="ja-JP"/>
        </w:rPr>
        <w:fldChar w:fldCharType="end"/>
      </w:r>
      <w:r w:rsidRPr="00DC3EC8">
        <w:rPr>
          <w:lang w:val="en-GB" w:eastAsia="ja-JP"/>
        </w:rPr>
        <w:t>.</w:t>
      </w:r>
    </w:p>
    <w:p w14:paraId="63E49623" w14:textId="77777777" w:rsidR="00AC6727" w:rsidRPr="00DC3EC8" w:rsidRDefault="00AC6727" w:rsidP="00AC6727">
      <w:pPr>
        <w:jc w:val="center"/>
        <w:rPr>
          <w:lang w:val="en-GB" w:eastAsia="ja-JP"/>
        </w:rPr>
      </w:pPr>
      <w:r w:rsidRPr="00DC3EC8">
        <w:rPr>
          <w:noProof/>
          <w:lang w:val="en-GB" w:eastAsia="ja-JP"/>
        </w:rPr>
        <w:drawing>
          <wp:inline distT="0" distB="0" distL="0" distR="0" wp14:anchorId="401FC1D9" wp14:editId="1D5C6D36">
            <wp:extent cx="3752850" cy="2450491"/>
            <wp:effectExtent l="0" t="0" r="0" b="6985"/>
            <wp:docPr id="159" name="Picture 15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MPE-ul-beamreport.png"/>
                    <pic:cNvPicPr/>
                  </pic:nvPicPr>
                  <pic:blipFill rotWithShape="1">
                    <a:blip r:embed="rId14">
                      <a:extLst>
                        <a:ext uri="{28A0092B-C50C-407E-A947-70E740481C1C}">
                          <a14:useLocalDpi xmlns:a14="http://schemas.microsoft.com/office/drawing/2010/main" val="0"/>
                        </a:ext>
                      </a:extLst>
                    </a:blip>
                    <a:srcRect b="4667"/>
                    <a:stretch/>
                  </pic:blipFill>
                  <pic:spPr bwMode="auto">
                    <a:xfrm>
                      <a:off x="0" y="0"/>
                      <a:ext cx="3757463" cy="2453503"/>
                    </a:xfrm>
                    <a:prstGeom prst="rect">
                      <a:avLst/>
                    </a:prstGeom>
                    <a:ln>
                      <a:noFill/>
                    </a:ln>
                    <a:extLst>
                      <a:ext uri="{53640926-AAD7-44D8-BBD7-CCE9431645EC}">
                        <a14:shadowObscured xmlns:a14="http://schemas.microsoft.com/office/drawing/2010/main"/>
                      </a:ext>
                    </a:extLst>
                  </pic:spPr>
                </pic:pic>
              </a:graphicData>
            </a:graphic>
          </wp:inline>
        </w:drawing>
      </w:r>
    </w:p>
    <w:p w14:paraId="5360B580" w14:textId="3498FD66" w:rsidR="00AC6727" w:rsidRPr="00DC3EC8" w:rsidRDefault="00AC6727" w:rsidP="00AC6727">
      <w:pPr>
        <w:pStyle w:val="TF"/>
        <w:rPr>
          <w:lang w:val="en-US"/>
        </w:rPr>
      </w:pPr>
      <w:bookmarkStart w:id="56" w:name="_Ref68075134"/>
      <w:r w:rsidRPr="00DC3EC8">
        <w:t xml:space="preserve">Figure </w:t>
      </w:r>
      <w:r w:rsidRPr="00DC3EC8">
        <w:fldChar w:fldCharType="begin"/>
      </w:r>
      <w:r w:rsidRPr="00DC3EC8">
        <w:instrText xml:space="preserve"> SEQ Figure \* ARABIC </w:instrText>
      </w:r>
      <w:r w:rsidRPr="00DC3EC8">
        <w:fldChar w:fldCharType="separate"/>
      </w:r>
      <w:r w:rsidR="004F6468">
        <w:rPr>
          <w:noProof/>
        </w:rPr>
        <w:t>3</w:t>
      </w:r>
      <w:r w:rsidRPr="00DC3EC8">
        <w:rPr>
          <w:noProof/>
        </w:rPr>
        <w:fldChar w:fldCharType="end"/>
      </w:r>
      <w:bookmarkEnd w:id="56"/>
      <w:r w:rsidRPr="00DC3EC8">
        <w:t xml:space="preserve">: </w:t>
      </w:r>
      <w:r w:rsidRPr="00DC3EC8">
        <w:rPr>
          <w:lang w:val="en-US"/>
        </w:rPr>
        <w:t>Procedure to handle an MPE event.</w:t>
      </w:r>
    </w:p>
    <w:p w14:paraId="4A561807" w14:textId="507E8AD5" w:rsidR="00AC6727" w:rsidRPr="005D2F20" w:rsidRDefault="00AC6727" w:rsidP="008511A2">
      <w:r w:rsidRPr="00DC3EC8">
        <w:rPr>
          <w:lang w:eastAsia="ja-JP"/>
        </w:rPr>
        <w:t xml:space="preserve">In comparison with the UL beam reporting in </w:t>
      </w:r>
      <w:r w:rsidRPr="00DC3EC8">
        <w:rPr>
          <w:lang w:eastAsia="ja-JP"/>
        </w:rPr>
        <w:fldChar w:fldCharType="begin"/>
      </w:r>
      <w:r w:rsidRPr="00DC3EC8">
        <w:rPr>
          <w:lang w:eastAsia="ja-JP"/>
        </w:rPr>
        <w:instrText xml:space="preserve"> REF _Ref68075303 \r \h </w:instrText>
      </w:r>
      <w:r w:rsidR="00797F46" w:rsidRPr="00DC3EC8">
        <w:rPr>
          <w:lang w:eastAsia="ja-JP"/>
        </w:rPr>
        <w:instrText xml:space="preserve"> \* MERGEFORMAT </w:instrText>
      </w:r>
      <w:r w:rsidRPr="00DC3EC8">
        <w:rPr>
          <w:lang w:eastAsia="ja-JP"/>
        </w:rPr>
      </w:r>
      <w:r w:rsidRPr="00DC3EC8">
        <w:rPr>
          <w:lang w:eastAsia="ja-JP"/>
        </w:rPr>
        <w:fldChar w:fldCharType="separate"/>
      </w:r>
      <w:r w:rsidR="004F6468">
        <w:rPr>
          <w:lang w:eastAsia="ja-JP"/>
        </w:rPr>
        <w:t>Proposal 32</w:t>
      </w:r>
      <w:r w:rsidRPr="00DC3EC8">
        <w:rPr>
          <w:lang w:eastAsia="ja-JP"/>
        </w:rPr>
        <w:fldChar w:fldCharType="end"/>
      </w:r>
      <w:r w:rsidRPr="00DC3EC8">
        <w:rPr>
          <w:lang w:eastAsia="ja-JP"/>
        </w:rPr>
        <w:t>, enhancements to the Rel</w:t>
      </w:r>
      <w:r w:rsidR="00775F7C" w:rsidRPr="00DC3EC8">
        <w:rPr>
          <w:lang w:eastAsia="ja-JP"/>
        </w:rPr>
        <w:t>-</w:t>
      </w:r>
      <w:r w:rsidRPr="00DC3EC8">
        <w:rPr>
          <w:lang w:eastAsia="ja-JP"/>
        </w:rPr>
        <w:t xml:space="preserve">16 P-MPR reporting framework seem less important: with the current framework, the UE can already inform the </w:t>
      </w:r>
      <w:r w:rsidR="003E11D1" w:rsidRPr="00DC3EC8">
        <w:rPr>
          <w:lang w:eastAsia="ja-JP"/>
        </w:rPr>
        <w:t>NW</w:t>
      </w:r>
      <w:r w:rsidRPr="00DC3EC8">
        <w:rPr>
          <w:lang w:eastAsia="ja-JP"/>
        </w:rPr>
        <w:t xml:space="preserve"> that an MPE event has </w:t>
      </w:r>
      <w:r w:rsidR="000C52C7" w:rsidRPr="00DC3EC8">
        <w:rPr>
          <w:lang w:eastAsia="ja-JP"/>
        </w:rPr>
        <w:t>occurred and</w:t>
      </w:r>
      <w:r w:rsidRPr="00DC3EC8">
        <w:rPr>
          <w:lang w:eastAsia="ja-JP"/>
        </w:rPr>
        <w:t xml:space="preserve"> based on this information the NW can start UL beam reporting. Therefore, </w:t>
      </w:r>
      <w:r w:rsidR="008511A2" w:rsidRPr="00DC3EC8">
        <w:rPr>
          <w:lang w:eastAsia="ja-JP"/>
        </w:rPr>
        <w:t>we do not see that</w:t>
      </w:r>
      <w:r w:rsidR="008511A2" w:rsidRPr="00DC3EC8">
        <w:t xml:space="preserve"> enhancements to the Rel</w:t>
      </w:r>
      <w:r w:rsidR="00775F7C" w:rsidRPr="00DC3EC8">
        <w:t>-</w:t>
      </w:r>
      <w:r w:rsidR="008511A2" w:rsidRPr="00DC3EC8">
        <w:t xml:space="preserve">16 P-MPR </w:t>
      </w:r>
      <w:r w:rsidR="008511A2" w:rsidRPr="00DC3EC8">
        <w:rPr>
          <w:lang w:eastAsia="ja-JP"/>
        </w:rPr>
        <w:t xml:space="preserve">reporting scheme </w:t>
      </w:r>
      <w:r w:rsidR="00775F7C" w:rsidRPr="00DC3EC8">
        <w:rPr>
          <w:lang w:eastAsia="ja-JP"/>
        </w:rPr>
        <w:t>are</w:t>
      </w:r>
      <w:r w:rsidR="008511A2" w:rsidRPr="00DC3EC8">
        <w:rPr>
          <w:lang w:eastAsia="ja-JP"/>
        </w:rPr>
        <w:t xml:space="preserve"> motivated.</w:t>
      </w:r>
      <w:r w:rsidR="008511A2">
        <w:rPr>
          <w:lang w:eastAsia="ja-JP"/>
        </w:rPr>
        <w:t xml:space="preserve"> </w:t>
      </w:r>
    </w:p>
    <w:p w14:paraId="39008554" w14:textId="046D1A1E" w:rsidR="002607D0" w:rsidRPr="00007A7D" w:rsidRDefault="00D777D8" w:rsidP="00D777D8">
      <w:pPr>
        <w:pStyle w:val="Heading2"/>
        <w:rPr>
          <w:lang w:val="en-US"/>
        </w:rPr>
      </w:pPr>
      <w:r>
        <w:lastRenderedPageBreak/>
        <w:t>2.5</w:t>
      </w:r>
      <w:r>
        <w:tab/>
      </w:r>
      <w:r w:rsidR="00007A7D">
        <w:t>Latency reduction for b</w:t>
      </w:r>
      <w:r w:rsidR="00007A7D" w:rsidRPr="00007A7D">
        <w:t>eam acquisition</w:t>
      </w:r>
      <w:r w:rsidR="00007A7D">
        <w:t>/refinement/tracking</w:t>
      </w:r>
      <w:r>
        <w:t xml:space="preserve"> </w:t>
      </w:r>
    </w:p>
    <w:p w14:paraId="545DA28A" w14:textId="39F93B0C" w:rsidR="002607D0" w:rsidRPr="004B3D22" w:rsidRDefault="00007A7D" w:rsidP="002607D0">
      <w:pPr>
        <w:rPr>
          <w:lang w:val="en-GB" w:eastAsia="ja-JP"/>
        </w:rPr>
      </w:pPr>
      <w:r w:rsidRPr="004B3D22">
        <w:rPr>
          <w:lang w:val="en-GB" w:eastAsia="ja-JP"/>
        </w:rPr>
        <w:t>In RAN1#</w:t>
      </w:r>
      <w:r w:rsidR="00775F7C" w:rsidRPr="004B3D22">
        <w:rPr>
          <w:lang w:val="en-GB" w:eastAsia="ja-JP"/>
        </w:rPr>
        <w:t>10</w:t>
      </w:r>
      <w:r w:rsidR="00804BC2">
        <w:rPr>
          <w:lang w:val="en-GB" w:eastAsia="ja-JP"/>
        </w:rPr>
        <w:t>5</w:t>
      </w:r>
      <w:r w:rsidRPr="004B3D22">
        <w:rPr>
          <w:lang w:val="en-GB" w:eastAsia="ja-JP"/>
        </w:rPr>
        <w:t>-e, the following was agreed:</w:t>
      </w:r>
    </w:p>
    <w:p w14:paraId="1D70D3B0" w14:textId="30979D1F" w:rsidR="00F140EA" w:rsidRPr="004B3D22" w:rsidRDefault="00F140EA" w:rsidP="000E0F2D">
      <w:pPr>
        <w:pStyle w:val="BodyText"/>
      </w:pPr>
      <w:r w:rsidRPr="004B3D22">
        <w:rPr>
          <w:noProof/>
        </w:rPr>
        <mc:AlternateContent>
          <mc:Choice Requires="wps">
            <w:drawing>
              <wp:inline distT="0" distB="0" distL="0" distR="0" wp14:anchorId="0C75BB2A" wp14:editId="1B9A04E4">
                <wp:extent cx="6146359" cy="771276"/>
                <wp:effectExtent l="0" t="0" r="26035" b="24765"/>
                <wp:docPr id="54" name="Text Box 54"/>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26FE52E6" w14:textId="77777777" w:rsidR="00E376B5" w:rsidRPr="007A4B66" w:rsidRDefault="00E376B5" w:rsidP="00804BC2">
                            <w:pPr>
                              <w:snapToGrid w:val="0"/>
                              <w:jc w:val="both"/>
                              <w:rPr>
                                <w:rFonts w:ascii="Times New Roman" w:hAnsi="Times New Roman" w:cs="Times New Roman"/>
                                <w:szCs w:val="20"/>
                                <w:highlight w:val="green"/>
                              </w:rPr>
                            </w:pPr>
                            <w:r w:rsidRPr="007A4B66">
                              <w:rPr>
                                <w:rFonts w:ascii="Times New Roman" w:hAnsi="Times New Roman" w:cs="Times New Roman"/>
                                <w:b/>
                                <w:szCs w:val="20"/>
                                <w:highlight w:val="green"/>
                              </w:rPr>
                              <w:t>Agreement</w:t>
                            </w:r>
                          </w:p>
                          <w:p w14:paraId="05BF18C6" w14:textId="77777777" w:rsidR="00E376B5" w:rsidRPr="007A4B66" w:rsidRDefault="00E376B5" w:rsidP="00804BC2">
                            <w:pPr>
                              <w:snapToGrid w:val="0"/>
                              <w:jc w:val="both"/>
                              <w:rPr>
                                <w:rFonts w:ascii="Times New Roman" w:hAnsi="Times New Roman" w:cs="Times New Roman"/>
                                <w:szCs w:val="20"/>
                                <w:lang w:eastAsia="zh-CN"/>
                              </w:rPr>
                            </w:pPr>
                            <w:r w:rsidRPr="007A4B66">
                              <w:rPr>
                                <w:rFonts w:ascii="Times New Roman" w:hAnsi="Times New Roman" w:cs="Times New Roman"/>
                                <w:szCs w:val="20"/>
                                <w:lang w:eastAsia="zh-CN"/>
                              </w:rPr>
                              <w:t>On Rel.17 enhancements to facilitate advanced beam refinement/tracking, focus study (including down-selection) and, if needed, specification effort on the following options:</w:t>
                            </w:r>
                          </w:p>
                          <w:p w14:paraId="0F2627E5" w14:textId="77777777" w:rsidR="00E376B5" w:rsidRPr="007A4B66" w:rsidRDefault="00E376B5" w:rsidP="00C4412A">
                            <w:pPr>
                              <w:pStyle w:val="ListParagraph"/>
                              <w:numPr>
                                <w:ilvl w:val="0"/>
                                <w:numId w:val="33"/>
                              </w:numPr>
                              <w:snapToGrid w:val="0"/>
                              <w:spacing w:line="240" w:lineRule="auto"/>
                              <w:jc w:val="both"/>
                              <w:rPr>
                                <w:rFonts w:ascii="Times New Roman" w:eastAsia="Malgun Gothic" w:hAnsi="Times New Roman" w:cs="Times New Roman"/>
                                <w:sz w:val="20"/>
                                <w:szCs w:val="20"/>
                                <w:lang w:eastAsia="zh-CN"/>
                              </w:rPr>
                            </w:pPr>
                            <w:r w:rsidRPr="007A4B66">
                              <w:rPr>
                                <w:rFonts w:ascii="Times New Roman" w:hAnsi="Times New Roman" w:cs="Times New Roman"/>
                                <w:sz w:val="20"/>
                                <w:szCs w:val="20"/>
                              </w:rPr>
                              <w:t xml:space="preserve">Group 1: </w:t>
                            </w:r>
                            <w:r w:rsidRPr="007A4B66">
                              <w:rPr>
                                <w:rFonts w:ascii="Times New Roman" w:hAnsi="Times New Roman" w:cs="Times New Roman"/>
                                <w:sz w:val="20"/>
                                <w:szCs w:val="20"/>
                                <w:lang w:eastAsia="zh-CN"/>
                              </w:rPr>
                              <w:t>Aim for at most one solution for Group 1 in Rel-17 to address issue 6</w:t>
                            </w:r>
                          </w:p>
                          <w:p w14:paraId="45D52600" w14:textId="77777777" w:rsidR="00E376B5" w:rsidRPr="007A4B66" w:rsidRDefault="00E376B5" w:rsidP="00C4412A">
                            <w:pPr>
                              <w:pStyle w:val="ListParagraph"/>
                              <w:numPr>
                                <w:ilvl w:val="1"/>
                                <w:numId w:val="33"/>
                              </w:numPr>
                              <w:snapToGrid w:val="0"/>
                              <w:spacing w:line="240" w:lineRule="auto"/>
                              <w:jc w:val="both"/>
                              <w:rPr>
                                <w:rFonts w:ascii="Times New Roman" w:eastAsia="Malgun Gothic" w:hAnsi="Times New Roman" w:cs="Times New Roman"/>
                                <w:sz w:val="20"/>
                                <w:szCs w:val="20"/>
                                <w:lang w:eastAsia="zh-CN"/>
                              </w:rPr>
                            </w:pPr>
                            <w:r w:rsidRPr="007A4B66">
                              <w:rPr>
                                <w:rFonts w:ascii="Times New Roman" w:hAnsi="Times New Roman" w:cs="Times New Roman"/>
                                <w:sz w:val="20"/>
                                <w:szCs w:val="20"/>
                              </w:rPr>
                              <w:t>Opt 1-A. UE-initiated beam selection/activation based on beam measurement and/or reporting (without beam indication or activation from NW)</w:t>
                            </w:r>
                          </w:p>
                          <w:p w14:paraId="1D1FB57A" w14:textId="77777777" w:rsidR="00E376B5" w:rsidRPr="007A4B66" w:rsidRDefault="00E376B5" w:rsidP="00C4412A">
                            <w:pPr>
                              <w:pStyle w:val="ListParagraph"/>
                              <w:numPr>
                                <w:ilvl w:val="1"/>
                                <w:numId w:val="33"/>
                              </w:numPr>
                              <w:snapToGrid w:val="0"/>
                              <w:spacing w:line="240" w:lineRule="auto"/>
                              <w:jc w:val="both"/>
                              <w:rPr>
                                <w:rFonts w:ascii="Times New Roman" w:eastAsia="Malgun Gothic" w:hAnsi="Times New Roman" w:cs="Times New Roman"/>
                                <w:sz w:val="20"/>
                                <w:szCs w:val="20"/>
                                <w:lang w:eastAsia="zh-CN"/>
                              </w:rPr>
                            </w:pPr>
                            <w:r w:rsidRPr="007A4B66">
                              <w:rPr>
                                <w:rFonts w:ascii="Times New Roman" w:hAnsi="Times New Roman" w:cs="Times New Roman"/>
                                <w:sz w:val="20"/>
                                <w:szCs w:val="20"/>
                              </w:rPr>
                              <w:t>Opt 1-B. Beam measurement/reporting/refinement/selection triggered by beam indication (without CSI request)</w:t>
                            </w:r>
                          </w:p>
                          <w:p w14:paraId="6481DD3D" w14:textId="77777777" w:rsidR="00E376B5" w:rsidRPr="007A4B66" w:rsidRDefault="00E376B5" w:rsidP="00C4412A">
                            <w:pPr>
                              <w:pStyle w:val="ListParagraph"/>
                              <w:numPr>
                                <w:ilvl w:val="1"/>
                                <w:numId w:val="33"/>
                              </w:numPr>
                              <w:snapToGrid w:val="0"/>
                              <w:spacing w:line="240" w:lineRule="auto"/>
                              <w:jc w:val="both"/>
                              <w:rPr>
                                <w:rFonts w:ascii="Times New Roman" w:eastAsia="Malgun Gothic" w:hAnsi="Times New Roman" w:cs="Times New Roman"/>
                                <w:sz w:val="20"/>
                                <w:szCs w:val="20"/>
                                <w:lang w:eastAsia="zh-CN"/>
                              </w:rPr>
                            </w:pPr>
                            <w:r w:rsidRPr="007A4B66">
                              <w:rPr>
                                <w:rFonts w:ascii="Times New Roman" w:hAnsi="Times New Roman" w:cs="Times New Roman"/>
                                <w:sz w:val="20"/>
                                <w:szCs w:val="20"/>
                              </w:rPr>
                              <w:t>Opt 1-C. Aperiodic beam measurement/reporting based on multiple resource sets for reducing beam measurement latency</w:t>
                            </w:r>
                          </w:p>
                          <w:p w14:paraId="651157C8" w14:textId="77777777" w:rsidR="00E376B5" w:rsidRPr="007A4B66" w:rsidRDefault="00E376B5" w:rsidP="00C4412A">
                            <w:pPr>
                              <w:pStyle w:val="ListParagraph"/>
                              <w:numPr>
                                <w:ilvl w:val="0"/>
                                <w:numId w:val="33"/>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Group 2: </w:t>
                            </w:r>
                            <w:r w:rsidRPr="007A4B66">
                              <w:rPr>
                                <w:rFonts w:ascii="Times New Roman" w:hAnsi="Times New Roman" w:cs="Times New Roman"/>
                                <w:sz w:val="20"/>
                                <w:szCs w:val="20"/>
                                <w:lang w:eastAsia="zh-CN"/>
                              </w:rPr>
                              <w:t>Aim for at most one solution for Group 2 in Rel-17 to address issue 6</w:t>
                            </w:r>
                          </w:p>
                          <w:p w14:paraId="65617FB3" w14:textId="77777777" w:rsidR="00E376B5" w:rsidRPr="007A4B66" w:rsidRDefault="00E376B5" w:rsidP="00C4412A">
                            <w:pPr>
                              <w:pStyle w:val="ListParagraph"/>
                              <w:numPr>
                                <w:ilvl w:val="1"/>
                                <w:numId w:val="33"/>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Opt 2-A: Latency reduction for MAC CE based TCI state activation, or frequency/time/beam tracking</w:t>
                            </w:r>
                          </w:p>
                          <w:p w14:paraId="686CF361" w14:textId="77777777" w:rsidR="00E376B5" w:rsidRPr="007A4B66" w:rsidRDefault="00E376B5" w:rsidP="00C4412A">
                            <w:pPr>
                              <w:pStyle w:val="ListParagraph"/>
                              <w:numPr>
                                <w:ilvl w:val="1"/>
                                <w:numId w:val="33"/>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Opt 2-B: Latency reduction for MAC CE based PL-RS activation</w:t>
                            </w:r>
                          </w:p>
                          <w:p w14:paraId="36C1CC05" w14:textId="77777777" w:rsidR="00E376B5" w:rsidRPr="007A4B66" w:rsidRDefault="00E376B5" w:rsidP="00C4412A">
                            <w:pPr>
                              <w:pStyle w:val="ListParagraph"/>
                              <w:numPr>
                                <w:ilvl w:val="1"/>
                                <w:numId w:val="33"/>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Opt 2-C: One-shot timing update for TCI state update</w:t>
                            </w:r>
                          </w:p>
                          <w:p w14:paraId="3C54790C" w14:textId="4CD8749C" w:rsidR="00E376B5" w:rsidRPr="00804BC2" w:rsidRDefault="00E376B5" w:rsidP="00F140EA">
                            <w:pPr>
                              <w:spacing w:after="0"/>
                              <w:rPr>
                                <w:rFonts w:ascii="Times" w:eastAsia="Batang" w:hAnsi="Times" w:cs="Times New Roman"/>
                                <w:szCs w:val="24"/>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C75BB2A" id="Text Box 54" o:spid="_x0000_s1049"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B+WJynUQIAAKsEAAAOAAAAAAAAAAAAAAAAAC4CAABkcnMvZTJvRG9jLnhtbFBLAQItABQABgAI&#10;AAAAIQAiBMLm3AAAAAUBAAAPAAAAAAAAAAAAAAAAAKsEAABkcnMvZG93bnJldi54bWxQSwUGAAAA&#10;AAQABADzAAAAtAUAAAAA&#10;" fillcolor="white [3201]" strokeweight=".5pt">
                <v:textbox style="mso-fit-shape-to-text:t">
                  <w:txbxContent>
                    <w:p w14:paraId="26FE52E6" w14:textId="77777777" w:rsidR="00E376B5" w:rsidRPr="007A4B66" w:rsidRDefault="00E376B5" w:rsidP="00804BC2">
                      <w:pPr>
                        <w:snapToGrid w:val="0"/>
                        <w:jc w:val="both"/>
                        <w:rPr>
                          <w:rFonts w:ascii="Times New Roman" w:hAnsi="Times New Roman" w:cs="Times New Roman"/>
                          <w:szCs w:val="20"/>
                          <w:highlight w:val="green"/>
                        </w:rPr>
                      </w:pPr>
                      <w:r w:rsidRPr="007A4B66">
                        <w:rPr>
                          <w:rFonts w:ascii="Times New Roman" w:hAnsi="Times New Roman" w:cs="Times New Roman"/>
                          <w:b/>
                          <w:szCs w:val="20"/>
                          <w:highlight w:val="green"/>
                        </w:rPr>
                        <w:t>Agreement</w:t>
                      </w:r>
                    </w:p>
                    <w:p w14:paraId="05BF18C6" w14:textId="77777777" w:rsidR="00E376B5" w:rsidRPr="007A4B66" w:rsidRDefault="00E376B5" w:rsidP="00804BC2">
                      <w:pPr>
                        <w:snapToGrid w:val="0"/>
                        <w:jc w:val="both"/>
                        <w:rPr>
                          <w:rFonts w:ascii="Times New Roman" w:hAnsi="Times New Roman" w:cs="Times New Roman"/>
                          <w:szCs w:val="20"/>
                          <w:lang w:eastAsia="zh-CN"/>
                        </w:rPr>
                      </w:pPr>
                      <w:r w:rsidRPr="007A4B66">
                        <w:rPr>
                          <w:rFonts w:ascii="Times New Roman" w:hAnsi="Times New Roman" w:cs="Times New Roman"/>
                          <w:szCs w:val="20"/>
                          <w:lang w:eastAsia="zh-CN"/>
                        </w:rPr>
                        <w:t>On Rel.17 enhancements to facilitate advanced beam refinement/tracking, focus study (including down-selection) and, if needed, specification effort on the following options:</w:t>
                      </w:r>
                    </w:p>
                    <w:p w14:paraId="0F2627E5" w14:textId="77777777" w:rsidR="00E376B5" w:rsidRPr="007A4B66" w:rsidRDefault="00E376B5" w:rsidP="00C4412A">
                      <w:pPr>
                        <w:pStyle w:val="ListParagraph"/>
                        <w:numPr>
                          <w:ilvl w:val="0"/>
                          <w:numId w:val="33"/>
                        </w:numPr>
                        <w:snapToGrid w:val="0"/>
                        <w:spacing w:line="240" w:lineRule="auto"/>
                        <w:jc w:val="both"/>
                        <w:rPr>
                          <w:rFonts w:ascii="Times New Roman" w:eastAsia="Malgun Gothic" w:hAnsi="Times New Roman" w:cs="Times New Roman"/>
                          <w:sz w:val="20"/>
                          <w:szCs w:val="20"/>
                          <w:lang w:eastAsia="zh-CN"/>
                        </w:rPr>
                      </w:pPr>
                      <w:r w:rsidRPr="007A4B66">
                        <w:rPr>
                          <w:rFonts w:ascii="Times New Roman" w:hAnsi="Times New Roman" w:cs="Times New Roman"/>
                          <w:sz w:val="20"/>
                          <w:szCs w:val="20"/>
                        </w:rPr>
                        <w:t xml:space="preserve">Group 1: </w:t>
                      </w:r>
                      <w:r w:rsidRPr="007A4B66">
                        <w:rPr>
                          <w:rFonts w:ascii="Times New Roman" w:hAnsi="Times New Roman" w:cs="Times New Roman"/>
                          <w:sz w:val="20"/>
                          <w:szCs w:val="20"/>
                          <w:lang w:eastAsia="zh-CN"/>
                        </w:rPr>
                        <w:t>Aim for at most one solution for Group 1 in Rel-17 to address issue 6</w:t>
                      </w:r>
                    </w:p>
                    <w:p w14:paraId="45D52600" w14:textId="77777777" w:rsidR="00E376B5" w:rsidRPr="007A4B66" w:rsidRDefault="00E376B5" w:rsidP="00C4412A">
                      <w:pPr>
                        <w:pStyle w:val="ListParagraph"/>
                        <w:numPr>
                          <w:ilvl w:val="1"/>
                          <w:numId w:val="33"/>
                        </w:numPr>
                        <w:snapToGrid w:val="0"/>
                        <w:spacing w:line="240" w:lineRule="auto"/>
                        <w:jc w:val="both"/>
                        <w:rPr>
                          <w:rFonts w:ascii="Times New Roman" w:eastAsia="Malgun Gothic" w:hAnsi="Times New Roman" w:cs="Times New Roman"/>
                          <w:sz w:val="20"/>
                          <w:szCs w:val="20"/>
                          <w:lang w:eastAsia="zh-CN"/>
                        </w:rPr>
                      </w:pPr>
                      <w:r w:rsidRPr="007A4B66">
                        <w:rPr>
                          <w:rFonts w:ascii="Times New Roman" w:hAnsi="Times New Roman" w:cs="Times New Roman"/>
                          <w:sz w:val="20"/>
                          <w:szCs w:val="20"/>
                        </w:rPr>
                        <w:t>Opt 1-A. UE-initiated beam selection/activation based on beam measurement and/or reporting (without beam indication or activation from NW)</w:t>
                      </w:r>
                    </w:p>
                    <w:p w14:paraId="1D1FB57A" w14:textId="77777777" w:rsidR="00E376B5" w:rsidRPr="007A4B66" w:rsidRDefault="00E376B5" w:rsidP="00C4412A">
                      <w:pPr>
                        <w:pStyle w:val="ListParagraph"/>
                        <w:numPr>
                          <w:ilvl w:val="1"/>
                          <w:numId w:val="33"/>
                        </w:numPr>
                        <w:snapToGrid w:val="0"/>
                        <w:spacing w:line="240" w:lineRule="auto"/>
                        <w:jc w:val="both"/>
                        <w:rPr>
                          <w:rFonts w:ascii="Times New Roman" w:eastAsia="Malgun Gothic" w:hAnsi="Times New Roman" w:cs="Times New Roman"/>
                          <w:sz w:val="20"/>
                          <w:szCs w:val="20"/>
                          <w:lang w:eastAsia="zh-CN"/>
                        </w:rPr>
                      </w:pPr>
                      <w:r w:rsidRPr="007A4B66">
                        <w:rPr>
                          <w:rFonts w:ascii="Times New Roman" w:hAnsi="Times New Roman" w:cs="Times New Roman"/>
                          <w:sz w:val="20"/>
                          <w:szCs w:val="20"/>
                        </w:rPr>
                        <w:t>Opt 1-B. Beam measurement/reporting/refinement/selection triggered by beam indication (without CSI request)</w:t>
                      </w:r>
                    </w:p>
                    <w:p w14:paraId="6481DD3D" w14:textId="77777777" w:rsidR="00E376B5" w:rsidRPr="007A4B66" w:rsidRDefault="00E376B5" w:rsidP="00C4412A">
                      <w:pPr>
                        <w:pStyle w:val="ListParagraph"/>
                        <w:numPr>
                          <w:ilvl w:val="1"/>
                          <w:numId w:val="33"/>
                        </w:numPr>
                        <w:snapToGrid w:val="0"/>
                        <w:spacing w:line="240" w:lineRule="auto"/>
                        <w:jc w:val="both"/>
                        <w:rPr>
                          <w:rFonts w:ascii="Times New Roman" w:eastAsia="Malgun Gothic" w:hAnsi="Times New Roman" w:cs="Times New Roman"/>
                          <w:sz w:val="20"/>
                          <w:szCs w:val="20"/>
                          <w:lang w:eastAsia="zh-CN"/>
                        </w:rPr>
                      </w:pPr>
                      <w:r w:rsidRPr="007A4B66">
                        <w:rPr>
                          <w:rFonts w:ascii="Times New Roman" w:hAnsi="Times New Roman" w:cs="Times New Roman"/>
                          <w:sz w:val="20"/>
                          <w:szCs w:val="20"/>
                        </w:rPr>
                        <w:t>Opt 1-C. Aperiodic beam measurement/reporting based on multiple resource sets for reducing beam measurement latency</w:t>
                      </w:r>
                    </w:p>
                    <w:p w14:paraId="651157C8" w14:textId="77777777" w:rsidR="00E376B5" w:rsidRPr="007A4B66" w:rsidRDefault="00E376B5" w:rsidP="00C4412A">
                      <w:pPr>
                        <w:pStyle w:val="ListParagraph"/>
                        <w:numPr>
                          <w:ilvl w:val="0"/>
                          <w:numId w:val="33"/>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Group 2: </w:t>
                      </w:r>
                      <w:r w:rsidRPr="007A4B66">
                        <w:rPr>
                          <w:rFonts w:ascii="Times New Roman" w:hAnsi="Times New Roman" w:cs="Times New Roman"/>
                          <w:sz w:val="20"/>
                          <w:szCs w:val="20"/>
                          <w:lang w:eastAsia="zh-CN"/>
                        </w:rPr>
                        <w:t>Aim for at most one solution for Group 2 in Rel-17 to address issue 6</w:t>
                      </w:r>
                    </w:p>
                    <w:p w14:paraId="65617FB3" w14:textId="77777777" w:rsidR="00E376B5" w:rsidRPr="007A4B66" w:rsidRDefault="00E376B5" w:rsidP="00C4412A">
                      <w:pPr>
                        <w:pStyle w:val="ListParagraph"/>
                        <w:numPr>
                          <w:ilvl w:val="1"/>
                          <w:numId w:val="33"/>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Opt 2-A: Latency reduction for MAC CE based TCI state activation, or frequency/time/beam tracking</w:t>
                      </w:r>
                    </w:p>
                    <w:p w14:paraId="686CF361" w14:textId="77777777" w:rsidR="00E376B5" w:rsidRPr="007A4B66" w:rsidRDefault="00E376B5" w:rsidP="00C4412A">
                      <w:pPr>
                        <w:pStyle w:val="ListParagraph"/>
                        <w:numPr>
                          <w:ilvl w:val="1"/>
                          <w:numId w:val="33"/>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Opt 2-B: Latency reduction for MAC CE based PL-RS activation</w:t>
                      </w:r>
                    </w:p>
                    <w:p w14:paraId="36C1CC05" w14:textId="77777777" w:rsidR="00E376B5" w:rsidRPr="007A4B66" w:rsidRDefault="00E376B5" w:rsidP="00C4412A">
                      <w:pPr>
                        <w:pStyle w:val="ListParagraph"/>
                        <w:numPr>
                          <w:ilvl w:val="1"/>
                          <w:numId w:val="33"/>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Opt 2-C: One-shot timing update for TCI state update</w:t>
                      </w:r>
                    </w:p>
                    <w:p w14:paraId="3C54790C" w14:textId="4CD8749C" w:rsidR="00E376B5" w:rsidRPr="00804BC2" w:rsidRDefault="00E376B5" w:rsidP="00F140EA">
                      <w:pPr>
                        <w:spacing w:after="0"/>
                        <w:rPr>
                          <w:rFonts w:ascii="Times" w:eastAsia="Batang" w:hAnsi="Times" w:cs="Times New Roman"/>
                          <w:szCs w:val="24"/>
                          <w:lang w:val="x-none"/>
                        </w:rPr>
                      </w:pPr>
                    </w:p>
                  </w:txbxContent>
                </v:textbox>
                <w10:anchorlock/>
              </v:shape>
            </w:pict>
          </mc:Fallback>
        </mc:AlternateContent>
      </w:r>
    </w:p>
    <w:p w14:paraId="698DA973" w14:textId="5B885559" w:rsidR="00007A7D" w:rsidRDefault="00007A7D" w:rsidP="000E0F2D">
      <w:pPr>
        <w:pStyle w:val="BodyText"/>
      </w:pPr>
      <w:r w:rsidRPr="004B3D22">
        <w:t>The idea with these groups is to specify functionality that falls outside the categories previously described</w:t>
      </w:r>
      <w:r w:rsidRPr="000F1371">
        <w:t>.</w:t>
      </w:r>
    </w:p>
    <w:p w14:paraId="437377B1" w14:textId="26FCC24E" w:rsidR="00D777D8" w:rsidRDefault="00D777D8" w:rsidP="00D777D8">
      <w:pPr>
        <w:pStyle w:val="Heading3"/>
      </w:pPr>
      <w:r w:rsidRPr="004B3D22">
        <w:t xml:space="preserve">2.5.1 </w:t>
      </w:r>
      <w:r w:rsidRPr="004B3D22">
        <w:tab/>
      </w:r>
      <w:r w:rsidR="004B3D22" w:rsidRPr="004B3D22">
        <w:t>Group 1</w:t>
      </w:r>
    </w:p>
    <w:p w14:paraId="24DCCC65" w14:textId="6F50DDF8" w:rsidR="004B3D22" w:rsidRDefault="004B3D22" w:rsidP="004B3D22">
      <w:pPr>
        <w:pStyle w:val="Heading4"/>
      </w:pPr>
      <w:r w:rsidRPr="004B3D22">
        <w:t>2.5.1.1</w:t>
      </w:r>
      <w:r w:rsidRPr="004B3D22">
        <w:tab/>
      </w:r>
      <w:r>
        <w:t>Opt 1-</w:t>
      </w:r>
      <w:r w:rsidR="00C20F33">
        <w:t>A</w:t>
      </w:r>
      <w:r>
        <w:t xml:space="preserve">: </w:t>
      </w:r>
      <w:r w:rsidRPr="004B3D22">
        <w:t>UE-initiated beam selection/activation based on beam measurement</w:t>
      </w:r>
    </w:p>
    <w:p w14:paraId="459A09C5" w14:textId="3A7F72C0" w:rsidR="004B3D22" w:rsidRPr="00240E36" w:rsidRDefault="004B3D22" w:rsidP="004B3D22">
      <w:pPr>
        <w:pStyle w:val="BodyText"/>
      </w:pPr>
      <w:r>
        <w:rPr>
          <w:lang w:val="en-GB"/>
        </w:rPr>
        <w:t xml:space="preserve">In the beam management procedures, </w:t>
      </w:r>
      <w:r w:rsidRPr="00240E36">
        <w:t>the gNB collects measurements from periodic or aperiodic reference signals, potentially followed by a TCI state update. The gNB never updates a TCI state without any measurement. It would thus seem attractive to have a way to integrate the measurement and a TCI state update</w:t>
      </w:r>
      <w:r w:rsidR="00B62A86">
        <w:t>.</w:t>
      </w:r>
    </w:p>
    <w:p w14:paraId="5936BB31" w14:textId="77777777" w:rsidR="004B3D22" w:rsidRPr="00240E36" w:rsidRDefault="004B3D22" w:rsidP="004B3D22">
      <w:pPr>
        <w:pStyle w:val="BodyText"/>
      </w:pPr>
      <w:r w:rsidRPr="00240E36">
        <w:t>Measurements on aperiodic CSI-RS provides a way to provide the UE with QCL sources in the TCI state, in the aperiodic trigger state:</w:t>
      </w:r>
    </w:p>
    <w:p w14:paraId="23B83E50" w14:textId="77777777" w:rsidR="004B3D22" w:rsidRPr="00B54BC4" w:rsidRDefault="004B3D22" w:rsidP="004B3D22">
      <w:pPr>
        <w:pStyle w:val="PL"/>
      </w:pPr>
      <w:r w:rsidRPr="00B54BC4">
        <w:t>CSI-AssociatedReportConfigInfo ::=  SEQUENCE {</w:t>
      </w:r>
    </w:p>
    <w:p w14:paraId="6E3B5209" w14:textId="77777777" w:rsidR="004B3D22" w:rsidRPr="00B54BC4" w:rsidRDefault="004B3D22" w:rsidP="004B3D22">
      <w:pPr>
        <w:pStyle w:val="PL"/>
      </w:pPr>
      <w:r w:rsidRPr="00B54BC4">
        <w:t xml:space="preserve">    reportConfigId                      CSI-ReportConfigId,</w:t>
      </w:r>
    </w:p>
    <w:p w14:paraId="74C70E57" w14:textId="77777777" w:rsidR="004B3D22" w:rsidRPr="00B54BC4" w:rsidRDefault="004B3D22" w:rsidP="004B3D22">
      <w:pPr>
        <w:pStyle w:val="PL"/>
      </w:pPr>
      <w:r w:rsidRPr="00B54BC4">
        <w:t xml:space="preserve">    resourcesForChannel                 CHOICE {</w:t>
      </w:r>
    </w:p>
    <w:p w14:paraId="137E0F2D" w14:textId="77777777" w:rsidR="004B3D22" w:rsidRPr="00B54BC4" w:rsidRDefault="004B3D22" w:rsidP="004B3D22">
      <w:pPr>
        <w:pStyle w:val="PL"/>
      </w:pPr>
      <w:r w:rsidRPr="00B54BC4">
        <w:t xml:space="preserve">        nzp-CSI-RS                          SEQUENCE {</w:t>
      </w:r>
    </w:p>
    <w:p w14:paraId="6618F6A8" w14:textId="77777777" w:rsidR="004B3D22" w:rsidRPr="00B54BC4" w:rsidRDefault="004B3D22" w:rsidP="004B3D22">
      <w:pPr>
        <w:pStyle w:val="PL"/>
      </w:pPr>
      <w:r w:rsidRPr="00B54BC4">
        <w:t xml:space="preserve">            resourceSet                         INTEGER (1..maxNrofNZP-CSI-RS-ResourceSetsPerConfig),</w:t>
      </w:r>
    </w:p>
    <w:p w14:paraId="66BB658B" w14:textId="77777777" w:rsidR="004B3D22" w:rsidRPr="00B54BC4" w:rsidRDefault="004B3D22" w:rsidP="004B3D22">
      <w:pPr>
        <w:pStyle w:val="PL"/>
      </w:pPr>
      <w:r w:rsidRPr="00B54BC4">
        <w:t xml:space="preserve">            qcl-info                            SEQUENCE (SIZE(1..maxNrofAP-CSI-RS-ResourcesPerSet)) OF TCI-StateId</w:t>
      </w:r>
    </w:p>
    <w:p w14:paraId="3E336F85" w14:textId="77777777" w:rsidR="004B3D22" w:rsidRPr="00B54BC4" w:rsidRDefault="004B3D22" w:rsidP="004B3D22">
      <w:pPr>
        <w:pStyle w:val="PL"/>
      </w:pPr>
      <w:r w:rsidRPr="00B54BC4">
        <w:t xml:space="preserve">                                                                                        </w:t>
      </w:r>
    </w:p>
    <w:p w14:paraId="564A1BFB" w14:textId="77777777" w:rsidR="004B3D22" w:rsidRPr="00B54BC4" w:rsidRDefault="004B3D22" w:rsidP="004B3D22">
      <w:pPr>
        <w:pStyle w:val="PL"/>
      </w:pPr>
      <w:r w:rsidRPr="00B54BC4">
        <w:t xml:space="preserve">        },</w:t>
      </w:r>
    </w:p>
    <w:p w14:paraId="74203DC7" w14:textId="77777777" w:rsidR="004B3D22" w:rsidRPr="00B54BC4" w:rsidRDefault="004B3D22" w:rsidP="004B3D22">
      <w:pPr>
        <w:pStyle w:val="PL"/>
      </w:pPr>
      <w:r w:rsidRPr="00B54BC4">
        <w:t xml:space="preserve">        csi-SSB-ResourceSet                 INTEGER (1..maxNrofCSI-SSB-ResourceSetsPerConfig)</w:t>
      </w:r>
    </w:p>
    <w:p w14:paraId="13EEF415" w14:textId="77777777" w:rsidR="004B3D22" w:rsidRPr="00B54BC4" w:rsidRDefault="004B3D22" w:rsidP="004B3D22">
      <w:pPr>
        <w:pStyle w:val="PL"/>
      </w:pPr>
      <w:r w:rsidRPr="00B54BC4">
        <w:t xml:space="preserve">    },</w:t>
      </w:r>
    </w:p>
    <w:p w14:paraId="5116759C" w14:textId="77777777" w:rsidR="004B3D22" w:rsidRPr="00B54BC4" w:rsidRDefault="004B3D22" w:rsidP="004B3D22">
      <w:pPr>
        <w:pStyle w:val="PL"/>
      </w:pPr>
      <w:r w:rsidRPr="00B54BC4">
        <w:t xml:space="preserve">    csi-IM-ResourcesForInterference     INTEGER(1..maxNrofCSI-IM-ResourceSetsPerConfig)</w:t>
      </w:r>
    </w:p>
    <w:p w14:paraId="65AAD369" w14:textId="77777777" w:rsidR="004B3D22" w:rsidRPr="00B54BC4" w:rsidRDefault="004B3D22" w:rsidP="004B3D22">
      <w:pPr>
        <w:pStyle w:val="PL"/>
      </w:pPr>
      <w:r w:rsidRPr="00B54BC4">
        <w:t xml:space="preserve">                                                                                        </w:t>
      </w:r>
    </w:p>
    <w:p w14:paraId="657D5901" w14:textId="77777777" w:rsidR="004B3D22" w:rsidRPr="00B54BC4" w:rsidRDefault="004B3D22" w:rsidP="004B3D22">
      <w:pPr>
        <w:pStyle w:val="PL"/>
      </w:pPr>
      <w:r w:rsidRPr="00B54BC4">
        <w:t xml:space="preserve">    nzp-CSI-RS-ResourcesForInterference INTEGER (1..maxNrofNZP-CSI-RS-ResourceSetsPerConfig)</w:t>
      </w:r>
    </w:p>
    <w:p w14:paraId="14CC70DB" w14:textId="77777777" w:rsidR="004B3D22" w:rsidRPr="00F537EB" w:rsidRDefault="004B3D22" w:rsidP="004B3D22">
      <w:pPr>
        <w:pStyle w:val="PL"/>
      </w:pPr>
      <w:r w:rsidRPr="00F537EB">
        <w:t xml:space="preserve">                                                                                        </w:t>
      </w:r>
    </w:p>
    <w:p w14:paraId="02122DD8" w14:textId="77777777" w:rsidR="004B3D22" w:rsidRPr="00F537EB" w:rsidRDefault="004B3D22" w:rsidP="004B3D22">
      <w:pPr>
        <w:pStyle w:val="PL"/>
      </w:pPr>
      <w:r w:rsidRPr="00F537EB">
        <w:t xml:space="preserve">    ...</w:t>
      </w:r>
    </w:p>
    <w:p w14:paraId="0E75785C" w14:textId="77777777" w:rsidR="004B3D22" w:rsidRPr="00F537EB" w:rsidRDefault="004B3D22" w:rsidP="004B3D22">
      <w:pPr>
        <w:pStyle w:val="PL"/>
      </w:pPr>
      <w:r w:rsidRPr="00F537EB">
        <w:t>}</w:t>
      </w:r>
    </w:p>
    <w:p w14:paraId="4B972070" w14:textId="0F27EE0F" w:rsidR="004B3D22" w:rsidRPr="00574A39" w:rsidRDefault="004B3D22" w:rsidP="004B3D22">
      <w:pPr>
        <w:pStyle w:val="BodyText"/>
      </w:pPr>
      <w:r w:rsidRPr="00574A39">
        <w:t xml:space="preserve">In Release-16, the UE uses the RSs in the corresponding TCI state when performing the measurement, </w:t>
      </w:r>
      <w:r w:rsidRPr="00AD3BD6">
        <w:rPr>
          <w:i/>
          <w:iCs/>
        </w:rPr>
        <w:t>but only for the measurement</w:t>
      </w:r>
      <w:r w:rsidRPr="00574A39">
        <w:t>. The measurement is then followed by a TCI state update using MAC CE. In the overwhelming majority of cases, the gNB would follow the recommendation the UE provided in the measurement report</w:t>
      </w:r>
      <w:r w:rsidR="00B62A86">
        <w:t>.</w:t>
      </w:r>
    </w:p>
    <w:p w14:paraId="2949EEEC" w14:textId="77777777" w:rsidR="004B3D22" w:rsidRDefault="004B3D22" w:rsidP="004B3D22">
      <w:pPr>
        <w:pStyle w:val="BodyText"/>
      </w:pPr>
      <w:r w:rsidRPr="00583822">
        <w:t xml:space="preserve">To streamline the procedure, a UE that performed a measurement on an aperiodic CSI-RS where a QCL reference is included could perform a TCI state update </w:t>
      </w:r>
      <w:r w:rsidRPr="00AD3BD6">
        <w:rPr>
          <w:i/>
          <w:iCs/>
        </w:rPr>
        <w:t>without any additional signaling from the gNB</w:t>
      </w:r>
      <w:r w:rsidRPr="00583822">
        <w:t xml:space="preserve">. </w:t>
      </w:r>
      <w:r w:rsidRPr="00240E36">
        <w:t xml:space="preserve">In other words, the UE can be configured to interpret a measurement on an aperiodic CSI-RS also as an implicit TCI state update. After performing the measurement, the UE would update the TCI state for subsequent demodulation of PDCCH and PDSCH. </w:t>
      </w:r>
      <w:r>
        <w:t>Hence, we propose</w:t>
      </w:r>
    </w:p>
    <w:p w14:paraId="145F8FE8" w14:textId="77777777" w:rsidR="004B3D22" w:rsidRPr="00240E36" w:rsidRDefault="004B3D22" w:rsidP="004B3D22">
      <w:pPr>
        <w:pStyle w:val="Proposal"/>
      </w:pPr>
      <w:bookmarkStart w:id="57" w:name="_Toc47708506"/>
      <w:bookmarkStart w:id="58" w:name="_Ref78814673"/>
      <w:bookmarkStart w:id="59" w:name="_Toc79658956"/>
      <w:r w:rsidRPr="00240E36">
        <w:lastRenderedPageBreak/>
        <w:t>After performing a measurement on an aperiodic CSI-RS, the UE would update the TCI state used as QCL source for the PDCCH/PDSCH DMRS to the QCL source corresponding to the best CSI-RS.</w:t>
      </w:r>
      <w:bookmarkEnd w:id="57"/>
      <w:bookmarkEnd w:id="58"/>
      <w:bookmarkEnd w:id="59"/>
    </w:p>
    <w:p w14:paraId="3120654A" w14:textId="74CB97DA" w:rsidR="004B3D22" w:rsidRDefault="004B3D22" w:rsidP="004B3D22">
      <w:pPr>
        <w:pStyle w:val="BodyText"/>
      </w:pPr>
      <w:r w:rsidRPr="00240E36">
        <w:t>The updated TCI state is applied after a delay, to make sure that the gNB will have time to stop the update (in rare cases). The delay will also ensure that the gNB can discover signaling errors, i.e., that the UE missed the measurement trigger, or that the gNB missed the measurement report.</w:t>
      </w:r>
      <w:r>
        <w:t xml:space="preserve"> If the gNB discovers a signaling error, it would have to send another aperiodic measurement trigger.</w:t>
      </w:r>
    </w:p>
    <w:p w14:paraId="418D74F1" w14:textId="35BBF68B" w:rsidR="000C52C7" w:rsidRPr="00164071" w:rsidRDefault="000C52C7" w:rsidP="004B3D22">
      <w:pPr>
        <w:pStyle w:val="BodyText"/>
      </w:pPr>
      <w:r>
        <w:t xml:space="preserve">We note that it may be problematic for the UE to use an aperiodic CSI-RS as QCL source. If so, one variant of </w:t>
      </w:r>
      <w:r>
        <w:fldChar w:fldCharType="begin"/>
      </w:r>
      <w:r>
        <w:instrText xml:space="preserve"> REF _Ref78814673 \r \h </w:instrText>
      </w:r>
      <w:r>
        <w:fldChar w:fldCharType="separate"/>
      </w:r>
      <w:r w:rsidR="004F6468">
        <w:t>Proposal 34</w:t>
      </w:r>
      <w:r>
        <w:fldChar w:fldCharType="end"/>
      </w:r>
      <w:r>
        <w:t xml:space="preserve"> is that the UE instead uses the </w:t>
      </w:r>
      <w:r w:rsidRPr="00D76485">
        <w:rPr>
          <w:i/>
          <w:iCs/>
        </w:rPr>
        <w:t>QCL</w:t>
      </w:r>
      <w:r>
        <w:t xml:space="preserve"> </w:t>
      </w:r>
      <w:r w:rsidRPr="000C52C7">
        <w:rPr>
          <w:i/>
          <w:iCs/>
        </w:rPr>
        <w:t>source</w:t>
      </w:r>
      <w:r>
        <w:t xml:space="preserve"> of the aperiodic CSI-RS.</w:t>
      </w:r>
    </w:p>
    <w:p w14:paraId="18585D7F" w14:textId="5D06442C" w:rsidR="00D77AC9" w:rsidRDefault="00D77AC9" w:rsidP="00C20F33">
      <w:pPr>
        <w:pStyle w:val="Heading4"/>
      </w:pPr>
      <w:r>
        <w:t>2.5.1.</w:t>
      </w:r>
      <w:r w:rsidR="00C20F33">
        <w:t>2</w:t>
      </w:r>
      <w:r>
        <w:tab/>
      </w:r>
      <w:r w:rsidRPr="00816B93">
        <w:t>Opt 1-</w:t>
      </w:r>
      <w:r w:rsidR="00C20F33">
        <w:t>B</w:t>
      </w:r>
      <w:r w:rsidRPr="00816B93">
        <w:t>: Beam measurement/reporting/refinement/selection triggered by beam indication (without CSI request)</w:t>
      </w:r>
    </w:p>
    <w:p w14:paraId="73E58BA4" w14:textId="4A0A8D51" w:rsidR="00D77AC9" w:rsidRPr="00D77AC9" w:rsidRDefault="00D77AC9" w:rsidP="00D77AC9">
      <w:pPr>
        <w:rPr>
          <w:lang w:val="en-GB" w:eastAsia="ja-JP"/>
        </w:rPr>
      </w:pPr>
      <w:r>
        <w:rPr>
          <w:lang w:val="en-GB" w:eastAsia="ja-JP"/>
        </w:rPr>
        <w:t>For this proposal, it is not clear to us how the UL resources needed for the CSI reporting would be reserved. The CSI request is part of UL DCI to ensure there is an UL resource available, while the beam indication relies on DL DCI formats. If reporting is triggered using beam indication, the UL resources would have to be semi-statically reserved, which is inefficient.</w:t>
      </w:r>
      <w:r w:rsidR="00D179B8">
        <w:rPr>
          <w:lang w:val="en-GB" w:eastAsia="ja-JP"/>
        </w:rPr>
        <w:t xml:space="preserve"> Hence, we do not see this as a good idea.</w:t>
      </w:r>
    </w:p>
    <w:p w14:paraId="74DF163D" w14:textId="166B25D5" w:rsidR="00D77AC9" w:rsidRPr="00816B93" w:rsidRDefault="00D77AC9" w:rsidP="00C20F33">
      <w:pPr>
        <w:pStyle w:val="Heading4"/>
      </w:pPr>
      <w:r>
        <w:t>2.5.1.3</w:t>
      </w:r>
      <w:r>
        <w:tab/>
      </w:r>
      <w:r w:rsidRPr="00816B93">
        <w:t>Opt 1-</w:t>
      </w:r>
      <w:r w:rsidR="00C20F33">
        <w:t>C</w:t>
      </w:r>
      <w:r w:rsidRPr="00816B93">
        <w:t>: Aperiodic beam measurement/reporting based on multiple resource sets for reducing beam measurement latency</w:t>
      </w:r>
    </w:p>
    <w:p w14:paraId="58D9322E" w14:textId="1846FCF7" w:rsidR="004B3D22" w:rsidRDefault="00890BBD" w:rsidP="004B3D22">
      <w:pPr>
        <w:rPr>
          <w:lang w:eastAsia="ja-JP"/>
        </w:rPr>
      </w:pPr>
      <w:r>
        <w:rPr>
          <w:lang w:eastAsia="ja-JP"/>
        </w:rPr>
        <w:t xml:space="preserve">Aperiodic CSI-RS transmission triggered by one DCI is limited to one slot. The maximum number of aperiodically triggered CSI-RS resources in one slot is further capped by UE capabilities. </w:t>
      </w:r>
      <w:r w:rsidR="008936B9">
        <w:rPr>
          <w:lang w:eastAsia="ja-JP"/>
        </w:rPr>
        <w:t>This means that the number of beams that can be measured and reported from the same triggering DCI is limited. This proposal aims to loosen this restriction by allowing one DCI trigger measurements on multiple CSI-RS resource sets.</w:t>
      </w:r>
    </w:p>
    <w:p w14:paraId="76634BAC" w14:textId="2A887105" w:rsidR="008936B9" w:rsidRPr="00890BBD" w:rsidRDefault="008936B9" w:rsidP="004B3D22">
      <w:pPr>
        <w:rPr>
          <w:lang w:eastAsia="ja-JP"/>
        </w:rPr>
      </w:pPr>
      <w:r>
        <w:rPr>
          <w:lang w:eastAsia="ja-JP"/>
        </w:rPr>
        <w:t>However, this limitation can be easily circumvented by triggering several consecutive measurement</w:t>
      </w:r>
      <w:r w:rsidR="000F1371">
        <w:rPr>
          <w:lang w:eastAsia="ja-JP"/>
        </w:rPr>
        <w:t xml:space="preserve"> opportunities</w:t>
      </w:r>
      <w:r>
        <w:rPr>
          <w:lang w:eastAsia="ja-JP"/>
        </w:rPr>
        <w:t xml:space="preserve">. </w:t>
      </w:r>
      <w:r w:rsidR="00D179B8">
        <w:rPr>
          <w:lang w:eastAsia="ja-JP"/>
        </w:rPr>
        <w:t>The corresponding measurements can even be included in the same report. Hence, we do not see the benefit of this proposal.</w:t>
      </w:r>
    </w:p>
    <w:p w14:paraId="72FB12CD" w14:textId="614B6C66" w:rsidR="00D777D8" w:rsidRDefault="00D777D8" w:rsidP="002E6AF8">
      <w:pPr>
        <w:pStyle w:val="Heading3"/>
      </w:pPr>
      <w:r w:rsidRPr="00F15405">
        <w:t xml:space="preserve">2.5.2 </w:t>
      </w:r>
      <w:r w:rsidRPr="00F15405">
        <w:tab/>
      </w:r>
      <w:r w:rsidR="00F15405" w:rsidRPr="00F15405">
        <w:t>Group 2</w:t>
      </w:r>
    </w:p>
    <w:p w14:paraId="777AC5DE" w14:textId="4406CF24" w:rsidR="00797F46" w:rsidRPr="00797F46" w:rsidRDefault="00797F46" w:rsidP="00797F46">
      <w:pPr>
        <w:pStyle w:val="Heading4"/>
      </w:pPr>
      <w:r w:rsidRPr="002D4F32">
        <w:t xml:space="preserve">2.5.2.1 </w:t>
      </w:r>
      <w:r w:rsidRPr="002D4F32">
        <w:tab/>
        <w:t>Reducing activation delay of TCI states and PL-RSs</w:t>
      </w:r>
    </w:p>
    <w:p w14:paraId="56C2C5CD" w14:textId="223412B6" w:rsidR="002E6AF8" w:rsidRDefault="002E6AF8" w:rsidP="002E6AF8">
      <w:pPr>
        <w:rPr>
          <w:lang w:val="en-GB" w:eastAsia="ja-JP"/>
        </w:rPr>
      </w:pPr>
      <w:r>
        <w:rPr>
          <w:lang w:val="en-GB" w:eastAsia="ja-JP"/>
        </w:rPr>
        <w:t>One important part of the WI is to speed up the signalling related to beam management, so that it becomes possible to handle higher speeds or narrower beams. To speed up the beam management process, it is imperative to take all parts of the procedure into account. The complete beam management procedure is illustrated in</w:t>
      </w:r>
      <w:r w:rsidR="00164071">
        <w:rPr>
          <w:lang w:val="en-GB" w:eastAsia="ja-JP"/>
        </w:rPr>
        <w:t xml:space="preserve"> </w:t>
      </w:r>
      <w:r w:rsidR="00164071">
        <w:rPr>
          <w:lang w:val="en-GB" w:eastAsia="ja-JP"/>
        </w:rPr>
        <w:fldChar w:fldCharType="begin"/>
      </w:r>
      <w:r w:rsidR="00164071">
        <w:rPr>
          <w:lang w:val="en-GB" w:eastAsia="ja-JP"/>
        </w:rPr>
        <w:instrText xml:space="preserve"> REF _Ref68530786 \h </w:instrText>
      </w:r>
      <w:r w:rsidR="00164071">
        <w:rPr>
          <w:lang w:val="en-GB" w:eastAsia="ja-JP"/>
        </w:rPr>
      </w:r>
      <w:r w:rsidR="00164071">
        <w:rPr>
          <w:lang w:val="en-GB" w:eastAsia="ja-JP"/>
        </w:rPr>
        <w:fldChar w:fldCharType="separate"/>
      </w:r>
      <w:r w:rsidR="004F6468" w:rsidRPr="00CE0424">
        <w:t xml:space="preserve">Figure </w:t>
      </w:r>
      <w:r w:rsidR="004F6468">
        <w:rPr>
          <w:noProof/>
        </w:rPr>
        <w:t>4</w:t>
      </w:r>
      <w:r w:rsidR="00164071">
        <w:rPr>
          <w:lang w:val="en-GB" w:eastAsia="ja-JP"/>
        </w:rPr>
        <w:fldChar w:fldCharType="end"/>
      </w:r>
      <w:r>
        <w:rPr>
          <w:lang w:val="en-GB" w:eastAsia="ja-JP"/>
        </w:rPr>
        <w:t xml:space="preserve"> when the gNB uses aperiodic CSI-RS to select TX beam.</w:t>
      </w:r>
    </w:p>
    <w:p w14:paraId="092B3A2B" w14:textId="77777777" w:rsidR="002E6AF8" w:rsidRDefault="002E6AF8" w:rsidP="002E6AF8">
      <w:pPr>
        <w:rPr>
          <w:lang w:val="en-GB" w:eastAsia="ja-JP"/>
        </w:rPr>
      </w:pPr>
      <w:r>
        <w:rPr>
          <w:lang w:val="en-GB" w:eastAsia="ja-JP"/>
        </w:rPr>
        <w:t>The whole procedure consists of the following parts:</w:t>
      </w:r>
    </w:p>
    <w:p w14:paraId="5A633E4A" w14:textId="77777777" w:rsidR="002E6AF8" w:rsidRPr="007D3C6C" w:rsidRDefault="002E6AF8" w:rsidP="00C4412A">
      <w:pPr>
        <w:pStyle w:val="ListParagraph"/>
        <w:numPr>
          <w:ilvl w:val="0"/>
          <w:numId w:val="15"/>
        </w:numPr>
        <w:rPr>
          <w:rFonts w:ascii="Arial" w:hAnsi="Arial" w:cs="Arial"/>
          <w:sz w:val="20"/>
          <w:szCs w:val="20"/>
          <w:lang w:val="en-GB" w:eastAsia="ja-JP"/>
        </w:rPr>
      </w:pPr>
      <w:r w:rsidRPr="007D3C6C">
        <w:rPr>
          <w:rFonts w:ascii="Arial" w:hAnsi="Arial" w:cs="Arial"/>
          <w:sz w:val="20"/>
          <w:szCs w:val="20"/>
          <w:lang w:val="en-GB" w:eastAsia="ja-JP"/>
        </w:rPr>
        <w:t>The gNB transmits an aperiodic CSI-RS</w:t>
      </w:r>
    </w:p>
    <w:p w14:paraId="2C597F57" w14:textId="77777777" w:rsidR="002E6AF8" w:rsidRPr="007D3C6C" w:rsidRDefault="002E6AF8" w:rsidP="00C4412A">
      <w:pPr>
        <w:pStyle w:val="ListParagraph"/>
        <w:numPr>
          <w:ilvl w:val="0"/>
          <w:numId w:val="15"/>
        </w:numPr>
        <w:rPr>
          <w:rFonts w:ascii="Arial" w:hAnsi="Arial" w:cs="Arial"/>
          <w:sz w:val="20"/>
          <w:szCs w:val="20"/>
          <w:lang w:val="en-GB" w:eastAsia="ja-JP"/>
        </w:rPr>
      </w:pPr>
      <w:r w:rsidRPr="007D3C6C">
        <w:rPr>
          <w:rFonts w:ascii="Arial" w:hAnsi="Arial" w:cs="Arial"/>
          <w:sz w:val="20"/>
          <w:szCs w:val="20"/>
          <w:lang w:val="en-GB" w:eastAsia="ja-JP"/>
        </w:rPr>
        <w:t>The UE performs a measurement and sends the report</w:t>
      </w:r>
    </w:p>
    <w:p w14:paraId="0076FA03" w14:textId="77777777" w:rsidR="002E6AF8" w:rsidRPr="007D3C6C" w:rsidRDefault="002E6AF8" w:rsidP="00C4412A">
      <w:pPr>
        <w:pStyle w:val="ListParagraph"/>
        <w:numPr>
          <w:ilvl w:val="0"/>
          <w:numId w:val="15"/>
        </w:numPr>
        <w:rPr>
          <w:rFonts w:ascii="Arial" w:hAnsi="Arial" w:cs="Arial"/>
          <w:sz w:val="20"/>
          <w:szCs w:val="20"/>
          <w:lang w:val="en-GB" w:eastAsia="ja-JP"/>
        </w:rPr>
      </w:pPr>
      <w:r w:rsidRPr="007D3C6C">
        <w:rPr>
          <w:rFonts w:ascii="Arial" w:hAnsi="Arial" w:cs="Arial"/>
          <w:sz w:val="20"/>
          <w:szCs w:val="20"/>
          <w:lang w:val="en-GB" w:eastAsia="ja-JP"/>
        </w:rPr>
        <w:t xml:space="preserve">The gNB sends a TCI state update, which is </w:t>
      </w:r>
      <w:r>
        <w:rPr>
          <w:rFonts w:ascii="Arial" w:hAnsi="Arial" w:cs="Arial"/>
          <w:sz w:val="20"/>
          <w:szCs w:val="20"/>
          <w:lang w:val="en-GB" w:eastAsia="ja-JP"/>
        </w:rPr>
        <w:t>ACK</w:t>
      </w:r>
      <w:r w:rsidRPr="007D3C6C">
        <w:rPr>
          <w:rFonts w:ascii="Arial" w:hAnsi="Arial" w:cs="Arial"/>
          <w:sz w:val="20"/>
          <w:szCs w:val="20"/>
          <w:lang w:val="en-GB" w:eastAsia="ja-JP"/>
        </w:rPr>
        <w:t>ed by the UE</w:t>
      </w:r>
    </w:p>
    <w:p w14:paraId="6F61EA8D" w14:textId="77777777" w:rsidR="002E6AF8" w:rsidRPr="007D3C6C" w:rsidRDefault="002E6AF8" w:rsidP="00C4412A">
      <w:pPr>
        <w:pStyle w:val="ListParagraph"/>
        <w:numPr>
          <w:ilvl w:val="0"/>
          <w:numId w:val="15"/>
        </w:numPr>
        <w:rPr>
          <w:rFonts w:ascii="Arial" w:hAnsi="Arial" w:cs="Arial"/>
          <w:sz w:val="20"/>
          <w:szCs w:val="20"/>
          <w:lang w:val="en-GB" w:eastAsia="ja-JP"/>
        </w:rPr>
      </w:pPr>
      <w:r w:rsidRPr="007D3C6C">
        <w:rPr>
          <w:rFonts w:ascii="Arial" w:hAnsi="Arial" w:cs="Arial"/>
          <w:sz w:val="20"/>
          <w:szCs w:val="20"/>
          <w:lang w:val="en-GB" w:eastAsia="ja-JP"/>
        </w:rPr>
        <w:t>The updated TCI state takes effect</w:t>
      </w:r>
    </w:p>
    <w:p w14:paraId="1A701C89" w14:textId="77777777" w:rsidR="002E6AF8" w:rsidRPr="007D3C6C" w:rsidRDefault="002E6AF8" w:rsidP="00C4412A">
      <w:pPr>
        <w:pStyle w:val="ListParagraph"/>
        <w:numPr>
          <w:ilvl w:val="0"/>
          <w:numId w:val="15"/>
        </w:numPr>
        <w:rPr>
          <w:rFonts w:ascii="Arial" w:hAnsi="Arial" w:cs="Arial"/>
          <w:sz w:val="20"/>
          <w:szCs w:val="20"/>
          <w:lang w:val="en-GB" w:eastAsia="ja-JP"/>
        </w:rPr>
      </w:pPr>
      <w:r w:rsidRPr="007D3C6C">
        <w:rPr>
          <w:rFonts w:ascii="Arial" w:hAnsi="Arial" w:cs="Arial"/>
          <w:sz w:val="20"/>
          <w:szCs w:val="20"/>
          <w:lang w:val="en-GB" w:eastAsia="ja-JP"/>
        </w:rPr>
        <w:t>The UE applies the new TCI state when the corresponding SSB has been received.</w:t>
      </w:r>
      <w:r>
        <w:rPr>
          <w:rFonts w:ascii="Arial" w:hAnsi="Arial" w:cs="Arial"/>
          <w:sz w:val="20"/>
          <w:szCs w:val="20"/>
          <w:lang w:val="en-GB" w:eastAsia="ja-JP"/>
        </w:rPr>
        <w:br/>
      </w:r>
    </w:p>
    <w:p w14:paraId="5A0375C8" w14:textId="7B324560" w:rsidR="002E6AF8" w:rsidRDefault="002E6AF8" w:rsidP="002E6AF8">
      <w:pPr>
        <w:rPr>
          <w:lang w:val="en-GB" w:eastAsia="ja-JP"/>
        </w:rPr>
      </w:pPr>
      <w:r>
        <w:rPr>
          <w:lang w:val="en-GB" w:eastAsia="ja-JP"/>
        </w:rPr>
        <w:t>One interesting point to note from</w:t>
      </w:r>
      <w:r w:rsidR="00164071">
        <w:rPr>
          <w:lang w:val="en-GB" w:eastAsia="ja-JP"/>
        </w:rPr>
        <w:t xml:space="preserve"> </w:t>
      </w:r>
      <w:r w:rsidR="00164071">
        <w:rPr>
          <w:lang w:val="en-GB" w:eastAsia="ja-JP"/>
        </w:rPr>
        <w:fldChar w:fldCharType="begin"/>
      </w:r>
      <w:r w:rsidR="00164071">
        <w:rPr>
          <w:lang w:val="en-GB" w:eastAsia="ja-JP"/>
        </w:rPr>
        <w:instrText xml:space="preserve"> REF _Ref68530786 \h </w:instrText>
      </w:r>
      <w:r w:rsidR="00164071">
        <w:rPr>
          <w:lang w:val="en-GB" w:eastAsia="ja-JP"/>
        </w:rPr>
      </w:r>
      <w:r w:rsidR="00164071">
        <w:rPr>
          <w:lang w:val="en-GB" w:eastAsia="ja-JP"/>
        </w:rPr>
        <w:fldChar w:fldCharType="separate"/>
      </w:r>
      <w:r w:rsidR="004F6468" w:rsidRPr="00CE0424">
        <w:t xml:space="preserve">Figure </w:t>
      </w:r>
      <w:r w:rsidR="004F6468">
        <w:rPr>
          <w:noProof/>
        </w:rPr>
        <w:t>4</w:t>
      </w:r>
      <w:r w:rsidR="00164071">
        <w:rPr>
          <w:lang w:val="en-GB" w:eastAsia="ja-JP"/>
        </w:rPr>
        <w:fldChar w:fldCharType="end"/>
      </w:r>
      <w:r>
        <w:rPr>
          <w:lang w:val="en-GB" w:eastAsia="ja-JP"/>
        </w:rPr>
        <w:t xml:space="preserve"> is that the UE according to current specification (38.133) needs to wait for the reception of the SSB corresponding to the activated TCI state. Since the time between SSBs is typically 20ms, this activation delay will in most cases dominate the beam management delay:</w:t>
      </w:r>
    </w:p>
    <w:p w14:paraId="51CA5478" w14:textId="77777777" w:rsidR="002E6AF8" w:rsidRDefault="002E6AF8" w:rsidP="000E0F2D">
      <w:pPr>
        <w:pStyle w:val="Observation"/>
        <w:rPr>
          <w:lang w:val="en-GB"/>
        </w:rPr>
      </w:pPr>
      <w:bookmarkStart w:id="60" w:name="_Toc79658922"/>
      <w:r>
        <w:rPr>
          <w:lang w:val="en-GB"/>
        </w:rPr>
        <w:t>In current specification, the activation delay dominates the beam management delay.</w:t>
      </w:r>
      <w:bookmarkEnd w:id="60"/>
      <w:r>
        <w:rPr>
          <w:lang w:val="en-GB"/>
        </w:rPr>
        <w:t xml:space="preserve"> </w:t>
      </w:r>
    </w:p>
    <w:p w14:paraId="74A466EC" w14:textId="2439AA58" w:rsidR="00113816" w:rsidRDefault="002E6AF8" w:rsidP="00113816">
      <w:pPr>
        <w:rPr>
          <w:lang w:val="en-GB"/>
        </w:rPr>
      </w:pPr>
      <w:r>
        <w:rPr>
          <w:lang w:val="en-GB"/>
        </w:rPr>
        <w:t xml:space="preserve">In the most common case, the UE will have performed a measurement on the RS in the newly activate TCI state. To perform a measurement on an RS, the UE must have derived QCL properties of that RS, at least regarding QCL-TypeC and QCL-TypeD. Thus, the UE has derived the QCL properties of the RS it reports. If </w:t>
      </w:r>
      <w:r>
        <w:rPr>
          <w:lang w:val="en-GB"/>
        </w:rPr>
        <w:lastRenderedPageBreak/>
        <w:t>the UE could remember the QCL properties of any RSs it has reported, at least for some time, it would be possible to avoid the activation delay, at least for some RS</w:t>
      </w:r>
      <w:r w:rsidR="00B62A86">
        <w:rPr>
          <w:lang w:val="en-GB"/>
        </w:rPr>
        <w:t>.</w:t>
      </w:r>
      <w:r w:rsidR="00113816">
        <w:rPr>
          <w:lang w:val="en-GB"/>
        </w:rPr>
        <w:t xml:space="preserve"> We thus propose </w:t>
      </w:r>
    </w:p>
    <w:p w14:paraId="620D56F4" w14:textId="77777777" w:rsidR="00113816" w:rsidRDefault="00113816" w:rsidP="00113816">
      <w:pPr>
        <w:pStyle w:val="Proposal"/>
        <w:rPr>
          <w:lang w:val="en-GB"/>
        </w:rPr>
      </w:pPr>
      <w:bookmarkStart w:id="61" w:name="_Ref68530815"/>
      <w:bookmarkStart w:id="62" w:name="_Toc68630205"/>
      <w:bookmarkStart w:id="63" w:name="_Toc79658957"/>
      <w:r>
        <w:rPr>
          <w:lang w:val="en-GB"/>
        </w:rPr>
        <w:t>The UE can be configured to store the QCL properties of a subset of the RSs it has reported for a limited period of time.</w:t>
      </w:r>
      <w:bookmarkEnd w:id="61"/>
      <w:bookmarkEnd w:id="62"/>
      <w:bookmarkEnd w:id="63"/>
    </w:p>
    <w:p w14:paraId="3828146D" w14:textId="77777777" w:rsidR="00113816" w:rsidRDefault="00113816" w:rsidP="002E6AF8">
      <w:pPr>
        <w:rPr>
          <w:lang w:val="en-GB"/>
        </w:rPr>
      </w:pPr>
    </w:p>
    <w:p w14:paraId="3BA5822E" w14:textId="77777777" w:rsidR="002E6AF8" w:rsidRDefault="002E6AF8" w:rsidP="002E6AF8">
      <w:pPr>
        <w:pStyle w:val="TF"/>
      </w:pPr>
      <w:r w:rsidRPr="00C54861">
        <w:rPr>
          <w:noProof/>
          <w:lang w:val="en-US" w:eastAsia="ja-JP"/>
        </w:rPr>
        <w:drawing>
          <wp:inline distT="0" distB="0" distL="0" distR="0" wp14:anchorId="1041C2D5" wp14:editId="45DC3182">
            <wp:extent cx="3448050" cy="3519614"/>
            <wp:effectExtent l="0" t="0" r="0" b="5080"/>
            <wp:docPr id="5" name="Picture 2" descr="A screenshot of a cell phone&#10;&#10;Description automatically generated">
              <a:extLst xmlns:a="http://schemas.openxmlformats.org/drawingml/2006/main">
                <a:ext uri="{FF2B5EF4-FFF2-40B4-BE49-F238E27FC236}">
                  <a16:creationId xmlns:a16="http://schemas.microsoft.com/office/drawing/2014/main" id="{CCCADF77-F135-43BA-B6F8-5B24098147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screenshot of a cell phone&#10;&#10;Description automatically generated">
                      <a:extLst>
                        <a:ext uri="{FF2B5EF4-FFF2-40B4-BE49-F238E27FC236}">
                          <a16:creationId xmlns:a16="http://schemas.microsoft.com/office/drawing/2014/main" id="{CCCADF77-F135-43BA-B6F8-5B240981474B}"/>
                        </a:ext>
                      </a:extLst>
                    </pic:cNvPr>
                    <pic:cNvPicPr>
                      <a:picLocks noChangeAspect="1"/>
                    </pic:cNvPicPr>
                  </pic:nvPicPr>
                  <pic:blipFill rotWithShape="1">
                    <a:blip r:embed="rId15">
                      <a:extLst>
                        <a:ext uri="{28A0092B-C50C-407E-A947-70E740481C1C}">
                          <a14:useLocalDpi xmlns:a14="http://schemas.microsoft.com/office/drawing/2010/main" val="0"/>
                        </a:ext>
                      </a:extLst>
                    </a:blip>
                    <a:srcRect b="2523"/>
                    <a:stretch/>
                  </pic:blipFill>
                  <pic:spPr bwMode="auto">
                    <a:xfrm>
                      <a:off x="0" y="0"/>
                      <a:ext cx="3456882" cy="3528629"/>
                    </a:xfrm>
                    <a:prstGeom prst="rect">
                      <a:avLst/>
                    </a:prstGeom>
                    <a:ln>
                      <a:noFill/>
                    </a:ln>
                    <a:extLst>
                      <a:ext uri="{53640926-AAD7-44D8-BBD7-CCE9431645EC}">
                        <a14:shadowObscured xmlns:a14="http://schemas.microsoft.com/office/drawing/2010/main"/>
                      </a:ext>
                    </a:extLst>
                  </pic:spPr>
                </pic:pic>
              </a:graphicData>
            </a:graphic>
          </wp:inline>
        </w:drawing>
      </w:r>
    </w:p>
    <w:p w14:paraId="577FEB5D" w14:textId="718A4F44" w:rsidR="002E6AF8" w:rsidRPr="00C54861" w:rsidRDefault="002E6AF8" w:rsidP="002E6AF8">
      <w:pPr>
        <w:pStyle w:val="TF"/>
        <w:rPr>
          <w:lang w:val="en-US"/>
        </w:rPr>
      </w:pPr>
      <w:bookmarkStart w:id="64" w:name="_Ref68530786"/>
      <w:r w:rsidRPr="00CE0424">
        <w:t xml:space="preserve">Figure </w:t>
      </w:r>
      <w:r w:rsidR="00F9303D">
        <w:fldChar w:fldCharType="begin"/>
      </w:r>
      <w:r w:rsidR="00F9303D">
        <w:instrText xml:space="preserve"> SEQ Figure \* ARABIC </w:instrText>
      </w:r>
      <w:r w:rsidR="00F9303D">
        <w:fldChar w:fldCharType="separate"/>
      </w:r>
      <w:r w:rsidR="004F6468">
        <w:rPr>
          <w:noProof/>
        </w:rPr>
        <w:t>4</w:t>
      </w:r>
      <w:r w:rsidR="00F9303D">
        <w:rPr>
          <w:noProof/>
        </w:rPr>
        <w:fldChar w:fldCharType="end"/>
      </w:r>
      <w:bookmarkEnd w:id="64"/>
      <w:r w:rsidRPr="00CE0424">
        <w:t xml:space="preserve">: </w:t>
      </w:r>
      <w:r w:rsidRPr="00C54861">
        <w:rPr>
          <w:lang w:val="en-US"/>
        </w:rPr>
        <w:t xml:space="preserve">Beam management </w:t>
      </w:r>
      <w:r>
        <w:rPr>
          <w:lang w:val="en-US"/>
        </w:rPr>
        <w:t>when the gNB uses</w:t>
      </w:r>
      <w:r w:rsidRPr="00C54861">
        <w:rPr>
          <w:lang w:val="en-US"/>
        </w:rPr>
        <w:t xml:space="preserve"> a</w:t>
      </w:r>
      <w:r>
        <w:rPr>
          <w:lang w:val="en-US"/>
        </w:rPr>
        <w:t>periodic CSI-RS to select Tx beam and the UE uses SSB to adjust its RX beam.</w:t>
      </w:r>
    </w:p>
    <w:p w14:paraId="399B1AAB" w14:textId="7FC6D121" w:rsidR="002E6AF8" w:rsidRDefault="002E6AF8" w:rsidP="002E6AF8">
      <w:pPr>
        <w:rPr>
          <w:lang w:val="en-GB" w:eastAsia="ja-JP"/>
        </w:rPr>
      </w:pPr>
      <w:r>
        <w:rPr>
          <w:lang w:val="en-GB" w:eastAsia="ja-JP"/>
        </w:rPr>
        <w:t>Note that the activation delay is described in RAN4 specifications. Reducing the activation delay, potentially using the method proposed in</w:t>
      </w:r>
      <w:r w:rsidR="00113816">
        <w:rPr>
          <w:lang w:val="en-GB" w:eastAsia="ja-JP"/>
        </w:rPr>
        <w:t xml:space="preserve"> </w:t>
      </w:r>
      <w:r w:rsidR="00113816">
        <w:rPr>
          <w:lang w:val="en-GB" w:eastAsia="ja-JP"/>
        </w:rPr>
        <w:fldChar w:fldCharType="begin"/>
      </w:r>
      <w:r w:rsidR="00113816">
        <w:rPr>
          <w:lang w:val="en-GB" w:eastAsia="ja-JP"/>
        </w:rPr>
        <w:instrText xml:space="preserve"> REF _Ref68530815 \r \h </w:instrText>
      </w:r>
      <w:r w:rsidR="00113816">
        <w:rPr>
          <w:lang w:val="en-GB" w:eastAsia="ja-JP"/>
        </w:rPr>
      </w:r>
      <w:r w:rsidR="00113816">
        <w:rPr>
          <w:lang w:val="en-GB" w:eastAsia="ja-JP"/>
        </w:rPr>
        <w:fldChar w:fldCharType="separate"/>
      </w:r>
      <w:r w:rsidR="004F6468">
        <w:rPr>
          <w:lang w:val="en-GB" w:eastAsia="ja-JP"/>
        </w:rPr>
        <w:t>Proposal 35</w:t>
      </w:r>
      <w:r w:rsidR="00113816">
        <w:rPr>
          <w:lang w:val="en-GB" w:eastAsia="ja-JP"/>
        </w:rPr>
        <w:fldChar w:fldCharType="end"/>
      </w:r>
      <w:r>
        <w:rPr>
          <w:lang w:val="en-GB" w:eastAsia="ja-JP"/>
        </w:rPr>
        <w:t>, would require RAN4 involvement. Once RAN4 starts the Rel-1</w:t>
      </w:r>
      <w:r w:rsidR="00194915">
        <w:rPr>
          <w:lang w:val="en-GB" w:eastAsia="ja-JP"/>
        </w:rPr>
        <w:t>7</w:t>
      </w:r>
      <w:r>
        <w:rPr>
          <w:lang w:val="en-GB" w:eastAsia="ja-JP"/>
        </w:rPr>
        <w:t xml:space="preserve"> work related to FeMIMO, any reduction in the TCI state activation delay would be very beneficial. Therefore, we propose</w:t>
      </w:r>
    </w:p>
    <w:p w14:paraId="0E5AE3DF" w14:textId="77777777" w:rsidR="002E6AF8" w:rsidRDefault="002E6AF8" w:rsidP="000E0F2D">
      <w:pPr>
        <w:pStyle w:val="Proposal"/>
        <w:rPr>
          <w:lang w:val="en-GB"/>
        </w:rPr>
      </w:pPr>
      <w:bookmarkStart w:id="65" w:name="_Toc79658958"/>
      <w:r>
        <w:rPr>
          <w:lang w:val="en-GB"/>
        </w:rPr>
        <w:t>Explain the identified issue on TCI state activation delay in relation to the RAN1 work in a future LS to RAN4.</w:t>
      </w:r>
      <w:bookmarkEnd w:id="65"/>
    </w:p>
    <w:p w14:paraId="4329FFB5" w14:textId="3EFB56E8" w:rsidR="00797F46" w:rsidRPr="00B717E3" w:rsidRDefault="00797F46" w:rsidP="00797F46">
      <w:pPr>
        <w:pStyle w:val="Heading4"/>
      </w:pPr>
      <w:bookmarkStart w:id="66" w:name="_Ref78813422"/>
      <w:bookmarkStart w:id="67" w:name="_Hlk61857909"/>
      <w:r w:rsidRPr="00B717E3">
        <w:t>2.</w:t>
      </w:r>
      <w:r>
        <w:t>5.2.2</w:t>
      </w:r>
      <w:r w:rsidRPr="00B717E3">
        <w:tab/>
      </w:r>
      <w:r>
        <w:t>One shot t</w:t>
      </w:r>
      <w:r w:rsidRPr="00B717E3">
        <w:t>iming</w:t>
      </w:r>
      <w:r>
        <w:t xml:space="preserve"> adjustment</w:t>
      </w:r>
      <w:bookmarkEnd w:id="66"/>
    </w:p>
    <w:p w14:paraId="26BD8BDD" w14:textId="2342BFB1" w:rsidR="002D4F32" w:rsidRPr="00B717E3" w:rsidRDefault="00797F46" w:rsidP="00797F46">
      <w:pPr>
        <w:rPr>
          <w:lang w:val="en-GB" w:eastAsia="ja-JP"/>
        </w:rPr>
      </w:pPr>
      <w:r w:rsidRPr="00B717E3">
        <w:rPr>
          <w:lang w:val="en-GB" w:eastAsia="ja-JP"/>
        </w:rPr>
        <w:t xml:space="preserve">In </w:t>
      </w:r>
      <w:r w:rsidRPr="00B717E3">
        <w:rPr>
          <w:lang w:val="en-GB" w:eastAsia="ja-JP"/>
        </w:rPr>
        <w:fldChar w:fldCharType="begin"/>
      </w:r>
      <w:r w:rsidRPr="00B717E3">
        <w:rPr>
          <w:lang w:val="en-GB" w:eastAsia="ja-JP"/>
        </w:rPr>
        <w:instrText xml:space="preserve"> REF _Ref53994573 \r \h  \* MERGEFORMAT </w:instrText>
      </w:r>
      <w:r w:rsidRPr="00B717E3">
        <w:rPr>
          <w:lang w:val="en-GB" w:eastAsia="ja-JP"/>
        </w:rPr>
      </w:r>
      <w:r w:rsidRPr="00B717E3">
        <w:rPr>
          <w:lang w:val="en-GB" w:eastAsia="ja-JP"/>
        </w:rPr>
        <w:fldChar w:fldCharType="separate"/>
      </w:r>
      <w:r w:rsidR="004F6468">
        <w:rPr>
          <w:lang w:val="en-GB" w:eastAsia="ja-JP"/>
        </w:rPr>
        <w:t>[2]</w:t>
      </w:r>
      <w:r w:rsidRPr="00B717E3">
        <w:rPr>
          <w:lang w:val="en-GB" w:eastAsia="ja-JP"/>
        </w:rPr>
        <w:fldChar w:fldCharType="end"/>
      </w:r>
      <w:r w:rsidRPr="00B717E3">
        <w:rPr>
          <w:lang w:val="en-GB" w:eastAsia="ja-JP"/>
        </w:rPr>
        <w:t xml:space="preserve">, RAN4 introduced so-called </w:t>
      </w:r>
      <w:r w:rsidRPr="00B717E3">
        <w:rPr>
          <w:i/>
          <w:lang w:val="en-GB" w:eastAsia="ja-JP"/>
        </w:rPr>
        <w:t>one-shot timing adjustment</w:t>
      </w:r>
      <w:r w:rsidRPr="00B717E3">
        <w:rPr>
          <w:lang w:val="en-GB" w:eastAsia="ja-JP"/>
        </w:rPr>
        <w:t>. One-shot timing adjustment implies that in case the UE experiences a large-enough offset in the reception timing, the UE performs a larger adjustment of its transmission timing. This functionality is beneficial for cases when there is an update in the TCI state so that the timing changes. Without such one-shot timing adjustment, the UE may adjust only slowly to changing timing, which would impact the performance.</w:t>
      </w:r>
    </w:p>
    <w:p w14:paraId="6417F931" w14:textId="42AFEB70" w:rsidR="00797F46" w:rsidRPr="00B717E3" w:rsidRDefault="00797F46" w:rsidP="00797F46">
      <w:pPr>
        <w:rPr>
          <w:lang w:val="en-GB" w:eastAsia="ja-JP"/>
        </w:rPr>
      </w:pPr>
      <w:r w:rsidRPr="00B717E3">
        <w:rPr>
          <w:lang w:val="en-GB" w:eastAsia="ja-JP"/>
        </w:rPr>
        <w:t>Unfortunately, RAN4 failed to finalize th</w:t>
      </w:r>
      <w:r>
        <w:rPr>
          <w:lang w:val="en-GB" w:eastAsia="ja-JP"/>
        </w:rPr>
        <w:t>e</w:t>
      </w:r>
      <w:r w:rsidRPr="00B717E3">
        <w:rPr>
          <w:lang w:val="en-GB" w:eastAsia="ja-JP"/>
        </w:rPr>
        <w:t xml:space="preserve"> details of one-shot timing</w:t>
      </w:r>
      <w:r>
        <w:rPr>
          <w:lang w:val="en-GB" w:eastAsia="ja-JP"/>
        </w:rPr>
        <w:t xml:space="preserve"> adjustment</w:t>
      </w:r>
      <w:r w:rsidRPr="00B717E3">
        <w:rPr>
          <w:lang w:val="en-GB" w:eastAsia="ja-JP"/>
        </w:rPr>
        <w:t xml:space="preserve">, and it was removed in </w:t>
      </w:r>
      <w:r w:rsidRPr="00B717E3">
        <w:rPr>
          <w:lang w:val="en-GB" w:eastAsia="ja-JP"/>
        </w:rPr>
        <w:fldChar w:fldCharType="begin"/>
      </w:r>
      <w:r w:rsidRPr="00B717E3">
        <w:rPr>
          <w:lang w:val="en-GB" w:eastAsia="ja-JP"/>
        </w:rPr>
        <w:instrText xml:space="preserve"> REF _Ref53994575 \r \h  \* MERGEFORMAT </w:instrText>
      </w:r>
      <w:r w:rsidRPr="00B717E3">
        <w:rPr>
          <w:lang w:val="en-GB" w:eastAsia="ja-JP"/>
        </w:rPr>
      </w:r>
      <w:r w:rsidRPr="00B717E3">
        <w:rPr>
          <w:lang w:val="en-GB" w:eastAsia="ja-JP"/>
        </w:rPr>
        <w:fldChar w:fldCharType="separate"/>
      </w:r>
      <w:r w:rsidR="004F6468">
        <w:rPr>
          <w:lang w:val="en-GB" w:eastAsia="ja-JP"/>
        </w:rPr>
        <w:t>[3]</w:t>
      </w:r>
      <w:r w:rsidRPr="00B717E3">
        <w:rPr>
          <w:lang w:val="en-GB" w:eastAsia="ja-JP"/>
        </w:rPr>
        <w:fldChar w:fldCharType="end"/>
      </w:r>
      <w:r w:rsidRPr="00B717E3">
        <w:rPr>
          <w:lang w:val="en-GB" w:eastAsia="ja-JP"/>
        </w:rPr>
        <w:t xml:space="preserve">. For the functionality that is considered in the </w:t>
      </w:r>
      <w:r>
        <w:rPr>
          <w:lang w:val="en-GB" w:eastAsia="ja-JP"/>
        </w:rPr>
        <w:t>F</w:t>
      </w:r>
      <w:r w:rsidRPr="00B717E3">
        <w:rPr>
          <w:lang w:val="en-GB" w:eastAsia="ja-JP"/>
        </w:rPr>
        <w:t xml:space="preserve">eMIMO WI, where faster updates of beams, and potentially also changes in Rx timing are foreseen, it would be very beneficial if RAN4 could re-introduce the one-shot timing </w:t>
      </w:r>
      <w:r>
        <w:rPr>
          <w:lang w:val="en-GB" w:eastAsia="ja-JP"/>
        </w:rPr>
        <w:t xml:space="preserve">adjustment </w:t>
      </w:r>
      <w:r w:rsidRPr="00B717E3">
        <w:rPr>
          <w:lang w:val="en-GB" w:eastAsia="ja-JP"/>
        </w:rPr>
        <w:t>into 38.133. Therefore, we propose</w:t>
      </w:r>
    </w:p>
    <w:p w14:paraId="06BFC763" w14:textId="686FAD2D" w:rsidR="00797F46" w:rsidRDefault="00797F46" w:rsidP="00797F46">
      <w:pPr>
        <w:pStyle w:val="Proposal"/>
        <w:rPr>
          <w:lang w:val="en-GB"/>
        </w:rPr>
      </w:pPr>
      <w:bookmarkStart w:id="68" w:name="_Toc79658959"/>
      <w:r w:rsidRPr="00B717E3">
        <w:rPr>
          <w:lang w:val="en-GB"/>
        </w:rPr>
        <w:t>Send an LS to RAN4 describing that RAN1 is considering faster beam updates and explain that one-shot timing adjustment would constitute a very important building block in that work.</w:t>
      </w:r>
      <w:bookmarkEnd w:id="68"/>
      <w:r w:rsidRPr="00B717E3">
        <w:rPr>
          <w:lang w:val="en-GB"/>
        </w:rPr>
        <w:t xml:space="preserve"> </w:t>
      </w:r>
    </w:p>
    <w:p w14:paraId="1F53900F" w14:textId="2F0823F4" w:rsidR="002D4F32" w:rsidRDefault="002D4F32" w:rsidP="002D4F32">
      <w:pPr>
        <w:pStyle w:val="BodyText"/>
        <w:rPr>
          <w:lang w:val="en-GB"/>
        </w:rPr>
      </w:pPr>
      <w:r>
        <w:rPr>
          <w:lang w:val="en-GB"/>
        </w:rPr>
        <w:lastRenderedPageBreak/>
        <w:t>Without such one-shot timing adjustment, the NW may have to trigger frequent PRACH transmissions and/or MAC CE TA adjustment to make sure that the UL transmission arrive synchronously at the gNB. This may lead to high signaling load, which is visible already in today’s networks.</w:t>
      </w:r>
    </w:p>
    <w:p w14:paraId="37EB5693" w14:textId="2D8A7DD6" w:rsidR="00C01F33" w:rsidRPr="00CE0424" w:rsidRDefault="00C01F33" w:rsidP="00CE0424">
      <w:pPr>
        <w:pStyle w:val="Heading1"/>
      </w:pPr>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67"/>
    <w:p w14:paraId="6FF7BAF7" w14:textId="75686396" w:rsidR="004F6468"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Cs/>
        </w:rPr>
        <w:fldChar w:fldCharType="begin"/>
      </w:r>
      <w:r>
        <w:rPr>
          <w:bCs/>
        </w:rPr>
        <w:instrText xml:space="preserve"> TOC \f O \n \h \z \t "Observation" \c </w:instrText>
      </w:r>
      <w:r>
        <w:rPr>
          <w:bCs/>
        </w:rPr>
        <w:fldChar w:fldCharType="separate"/>
      </w:r>
      <w:hyperlink w:anchor="_Toc79658911" w:history="1">
        <w:r w:rsidR="004F6468" w:rsidRPr="00434A21">
          <w:rPr>
            <w:rStyle w:val="Hyperlink"/>
            <w:noProof/>
          </w:rPr>
          <w:t>Observation 1</w:t>
        </w:r>
        <w:r w:rsidR="004F6468">
          <w:rPr>
            <w:rFonts w:asciiTheme="minorHAnsi" w:eastAsiaTheme="minorEastAsia" w:hAnsiTheme="minorHAnsi" w:cstheme="minorBidi"/>
            <w:b w:val="0"/>
            <w:noProof/>
            <w:sz w:val="22"/>
            <w:szCs w:val="22"/>
            <w:lang w:val="sv-SE" w:eastAsia="sv-SE"/>
          </w:rPr>
          <w:tab/>
        </w:r>
        <w:r w:rsidR="004F6468" w:rsidRPr="00434A21">
          <w:rPr>
            <w:rStyle w:val="Hyperlink"/>
            <w:noProof/>
          </w:rPr>
          <w:t>Using the QCL assumptions of PDCCH/PDSCH is a relevant use case for all types of CSI-RS resource sets: without repetition, with repetition ‘on’ and with repetition ‘off’.</w:t>
        </w:r>
      </w:hyperlink>
    </w:p>
    <w:p w14:paraId="0DCC878D" w14:textId="56BAFC47"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12" w:history="1">
        <w:r w:rsidR="004F6468" w:rsidRPr="00434A21">
          <w:rPr>
            <w:rStyle w:val="Hyperlink"/>
            <w:noProof/>
          </w:rPr>
          <w:t>Observation 2</w:t>
        </w:r>
        <w:r w:rsidR="004F6468">
          <w:rPr>
            <w:rFonts w:asciiTheme="minorHAnsi" w:eastAsiaTheme="minorEastAsia" w:hAnsiTheme="minorHAnsi" w:cstheme="minorBidi"/>
            <w:b w:val="0"/>
            <w:noProof/>
            <w:sz w:val="22"/>
            <w:szCs w:val="22"/>
            <w:lang w:val="sv-SE" w:eastAsia="sv-SE"/>
          </w:rPr>
          <w:tab/>
        </w:r>
        <w:r w:rsidR="004F6468" w:rsidRPr="00434A21">
          <w:rPr>
            <w:rStyle w:val="Hyperlink"/>
            <w:noProof/>
          </w:rPr>
          <w:t>The default QCL assumption of aperiodic CSI-RS in Rel-15 corresponds to the Rel-17 common beam.</w:t>
        </w:r>
      </w:hyperlink>
    </w:p>
    <w:p w14:paraId="7A78DC66" w14:textId="18707984"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13" w:history="1">
        <w:r w:rsidR="004F6468" w:rsidRPr="00434A21">
          <w:rPr>
            <w:rStyle w:val="Hyperlink"/>
            <w:noProof/>
            <w:lang w:val="en-GB"/>
          </w:rPr>
          <w:t>Observation 3</w:t>
        </w:r>
        <w:r w:rsidR="004F6468">
          <w:rPr>
            <w:rFonts w:asciiTheme="minorHAnsi" w:eastAsiaTheme="minorEastAsia" w:hAnsiTheme="minorHAnsi" w:cstheme="minorBidi"/>
            <w:b w:val="0"/>
            <w:noProof/>
            <w:sz w:val="22"/>
            <w:szCs w:val="22"/>
            <w:lang w:val="sv-SE" w:eastAsia="sv-SE"/>
          </w:rPr>
          <w:tab/>
        </w:r>
        <w:r w:rsidR="004F6468" w:rsidRPr="00434A21">
          <w:rPr>
            <w:rStyle w:val="Hyperlink"/>
            <w:noProof/>
            <w:lang w:val="en-GB"/>
          </w:rPr>
          <w:t>Since SSB or SRS cannot be used as source RS for QCL TypeA, there is no reduction in configuration or transmission overhead associated with the introduction of SSB or SRS as a source RS for QCL TypeD.</w:t>
        </w:r>
      </w:hyperlink>
    </w:p>
    <w:p w14:paraId="09AC2D65" w14:textId="4C98B20D"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14" w:history="1">
        <w:r w:rsidR="004F6468" w:rsidRPr="00434A21">
          <w:rPr>
            <w:rStyle w:val="Hyperlink"/>
            <w:noProof/>
            <w:lang w:eastAsia="zh-CN"/>
          </w:rPr>
          <w:t>Observation 4</w:t>
        </w:r>
        <w:r w:rsidR="004F6468">
          <w:rPr>
            <w:rFonts w:asciiTheme="minorHAnsi" w:eastAsiaTheme="minorEastAsia" w:hAnsiTheme="minorHAnsi" w:cstheme="minorBidi"/>
            <w:b w:val="0"/>
            <w:noProof/>
            <w:sz w:val="22"/>
            <w:szCs w:val="22"/>
            <w:lang w:val="sv-SE" w:eastAsia="sv-SE"/>
          </w:rPr>
          <w:tab/>
        </w:r>
        <w:r w:rsidR="004F6468" w:rsidRPr="00434A21">
          <w:rPr>
            <w:rStyle w:val="Hyperlink"/>
            <w:noProof/>
          </w:rPr>
          <w:t>If the UL TCI states is taken from a separate pool of TCI states, the mapping between UE capability and RRC configuration is very straightforward.</w:t>
        </w:r>
      </w:hyperlink>
    </w:p>
    <w:p w14:paraId="2D562461" w14:textId="4DDEF215"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15" w:history="1">
        <w:r w:rsidR="004F6468" w:rsidRPr="00434A21">
          <w:rPr>
            <w:rStyle w:val="Hyperlink"/>
            <w:noProof/>
          </w:rPr>
          <w:t>Observation 5</w:t>
        </w:r>
        <w:r w:rsidR="004F6468">
          <w:rPr>
            <w:rFonts w:asciiTheme="minorHAnsi" w:eastAsiaTheme="minorEastAsia" w:hAnsiTheme="minorHAnsi" w:cstheme="minorBidi"/>
            <w:b w:val="0"/>
            <w:noProof/>
            <w:sz w:val="22"/>
            <w:szCs w:val="22"/>
            <w:lang w:val="sv-SE" w:eastAsia="sv-SE"/>
          </w:rPr>
          <w:tab/>
        </w:r>
        <w:r w:rsidR="004F6468" w:rsidRPr="00434A21">
          <w:rPr>
            <w:rStyle w:val="Hyperlink"/>
            <w:noProof/>
          </w:rPr>
          <w:t>To reap the benefits of inter-cell beam management, both measurements and beam indication for non-serving cells must be specified.</w:t>
        </w:r>
      </w:hyperlink>
    </w:p>
    <w:p w14:paraId="5CBE68EA" w14:textId="18C0E650"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16" w:history="1">
        <w:r w:rsidR="004F6468" w:rsidRPr="00434A21">
          <w:rPr>
            <w:rStyle w:val="Hyperlink"/>
            <w:noProof/>
          </w:rPr>
          <w:t>Observation 6</w:t>
        </w:r>
        <w:r w:rsidR="004F6468">
          <w:rPr>
            <w:rFonts w:asciiTheme="minorHAnsi" w:eastAsiaTheme="minorEastAsia" w:hAnsiTheme="minorHAnsi" w:cstheme="minorBidi"/>
            <w:b w:val="0"/>
            <w:noProof/>
            <w:sz w:val="22"/>
            <w:szCs w:val="22"/>
            <w:lang w:val="sv-SE" w:eastAsia="sv-SE"/>
          </w:rPr>
          <w:tab/>
        </w:r>
        <w:r w:rsidR="004F6468" w:rsidRPr="00434A21">
          <w:rPr>
            <w:rStyle w:val="Hyperlink"/>
            <w:noProof/>
          </w:rPr>
          <w:t>TCI states that are applicable “for non-serving cells” can still be configured in the serving cell.</w:t>
        </w:r>
      </w:hyperlink>
    </w:p>
    <w:p w14:paraId="0FCBC462" w14:textId="142ADB64"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17" w:history="1">
        <w:r w:rsidR="004F6468" w:rsidRPr="00434A21">
          <w:rPr>
            <w:rStyle w:val="Hyperlink"/>
            <w:noProof/>
            <w:lang w:val="en-GB"/>
          </w:rPr>
          <w:t>Observation 7</w:t>
        </w:r>
        <w:r w:rsidR="004F6468">
          <w:rPr>
            <w:rFonts w:asciiTheme="minorHAnsi" w:eastAsiaTheme="minorEastAsia" w:hAnsiTheme="minorHAnsi" w:cstheme="minorBidi"/>
            <w:b w:val="0"/>
            <w:noProof/>
            <w:sz w:val="22"/>
            <w:szCs w:val="22"/>
            <w:lang w:val="sv-SE" w:eastAsia="sv-SE"/>
          </w:rPr>
          <w:tab/>
        </w:r>
        <w:r w:rsidR="004F6468" w:rsidRPr="00434A21">
          <w:rPr>
            <w:rStyle w:val="Hyperlink"/>
            <w:noProof/>
            <w:lang w:val="en-GB"/>
          </w:rPr>
          <w:t>The UE complexity of non-serving cell measurements is mainly determined by the total number of non-serving cells the UE measures.</w:t>
        </w:r>
      </w:hyperlink>
    </w:p>
    <w:p w14:paraId="1739A23F" w14:textId="6D1F06CD"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18" w:history="1">
        <w:r w:rsidR="004F6468" w:rsidRPr="00434A21">
          <w:rPr>
            <w:rStyle w:val="Hyperlink"/>
            <w:noProof/>
            <w:lang w:val="en-GB"/>
          </w:rPr>
          <w:t>Observation 8</w:t>
        </w:r>
        <w:r w:rsidR="004F6468">
          <w:rPr>
            <w:rFonts w:asciiTheme="minorHAnsi" w:eastAsiaTheme="minorEastAsia" w:hAnsiTheme="minorHAnsi" w:cstheme="minorBidi"/>
            <w:b w:val="0"/>
            <w:noProof/>
            <w:sz w:val="22"/>
            <w:szCs w:val="22"/>
            <w:lang w:val="sv-SE" w:eastAsia="sv-SE"/>
          </w:rPr>
          <w:tab/>
        </w:r>
        <w:r w:rsidR="004F6468" w:rsidRPr="00434A21">
          <w:rPr>
            <w:rStyle w:val="Hyperlink"/>
            <w:noProof/>
            <w:lang w:val="en-GB"/>
          </w:rPr>
          <w:t>From a NW complexity point of view, UL multi-panel scheduling is similar to UL CA scheduling.</w:t>
        </w:r>
      </w:hyperlink>
    </w:p>
    <w:p w14:paraId="1911F8AC" w14:textId="0364EC27"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19" w:history="1">
        <w:r w:rsidR="004F6468" w:rsidRPr="00434A21">
          <w:rPr>
            <w:rStyle w:val="Hyperlink"/>
            <w:noProof/>
            <w:lang w:val="en-GB"/>
          </w:rPr>
          <w:t>Observation 9</w:t>
        </w:r>
        <w:r w:rsidR="004F6468">
          <w:rPr>
            <w:rFonts w:asciiTheme="minorHAnsi" w:eastAsiaTheme="minorEastAsia" w:hAnsiTheme="minorHAnsi" w:cstheme="minorBidi"/>
            <w:b w:val="0"/>
            <w:noProof/>
            <w:sz w:val="22"/>
            <w:szCs w:val="22"/>
            <w:lang w:val="sv-SE" w:eastAsia="sv-SE"/>
          </w:rPr>
          <w:tab/>
        </w:r>
        <w:r w:rsidR="004F6468" w:rsidRPr="00434A21">
          <w:rPr>
            <w:rStyle w:val="Hyperlink"/>
            <w:noProof/>
            <w:lang w:val="en-GB"/>
          </w:rPr>
          <w:t>There has been no evidence that an explicit panel identifier provides any additional benefits compared to just steering UL transmissions using UL or joint DL/UL TCI.</w:t>
        </w:r>
      </w:hyperlink>
    </w:p>
    <w:p w14:paraId="617D9149" w14:textId="742DDD64"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20" w:history="1">
        <w:r w:rsidR="004F6468" w:rsidRPr="00434A21">
          <w:rPr>
            <w:rStyle w:val="Hyperlink"/>
            <w:noProof/>
            <w:lang w:val="en-GB"/>
          </w:rPr>
          <w:t>Observation 10</w:t>
        </w:r>
        <w:r w:rsidR="004F6468">
          <w:rPr>
            <w:rFonts w:asciiTheme="minorHAnsi" w:eastAsiaTheme="minorEastAsia" w:hAnsiTheme="minorHAnsi" w:cstheme="minorBidi"/>
            <w:b w:val="0"/>
            <w:noProof/>
            <w:sz w:val="22"/>
            <w:szCs w:val="22"/>
            <w:lang w:val="sv-SE" w:eastAsia="sv-SE"/>
          </w:rPr>
          <w:tab/>
        </w:r>
        <w:r w:rsidR="004F6468" w:rsidRPr="00434A21">
          <w:rPr>
            <w:rStyle w:val="Hyperlink"/>
            <w:noProof/>
            <w:lang w:val="en-GB"/>
          </w:rPr>
          <w:t>Since an RS resource is used as beam indication, the NW cannot in general decide which panel the UE should use for UL transmission.</w:t>
        </w:r>
      </w:hyperlink>
    </w:p>
    <w:p w14:paraId="293B7D34" w14:textId="131BA15E"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21" w:history="1">
        <w:r w:rsidR="004F6468" w:rsidRPr="00434A21">
          <w:rPr>
            <w:rStyle w:val="Hyperlink"/>
            <w:noProof/>
            <w:lang w:val="en-GB"/>
          </w:rPr>
          <w:t>Observation 11</w:t>
        </w:r>
        <w:r w:rsidR="004F6468">
          <w:rPr>
            <w:rFonts w:asciiTheme="minorHAnsi" w:eastAsiaTheme="minorEastAsia" w:hAnsiTheme="minorHAnsi" w:cstheme="minorBidi"/>
            <w:b w:val="0"/>
            <w:noProof/>
            <w:sz w:val="22"/>
            <w:szCs w:val="22"/>
            <w:lang w:val="sv-SE" w:eastAsia="sv-SE"/>
          </w:rPr>
          <w:tab/>
        </w:r>
        <w:r w:rsidR="004F6468" w:rsidRPr="00434A21">
          <w:rPr>
            <w:rStyle w:val="Hyperlink"/>
            <w:noProof/>
            <w:lang w:val="en-GB"/>
          </w:rPr>
          <w:t>If the UE still reports the N beams with the best L1-RSRP, there is little chance that measurements from both panels are included, even if there is an MPE event.</w:t>
        </w:r>
      </w:hyperlink>
    </w:p>
    <w:p w14:paraId="6A3F0C01" w14:textId="71BA6B83"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22" w:history="1">
        <w:r w:rsidR="004F6468" w:rsidRPr="00434A21">
          <w:rPr>
            <w:rStyle w:val="Hyperlink"/>
            <w:noProof/>
            <w:lang w:val="en-GB"/>
          </w:rPr>
          <w:t>Observation 12</w:t>
        </w:r>
        <w:r w:rsidR="004F6468">
          <w:rPr>
            <w:rFonts w:asciiTheme="minorHAnsi" w:eastAsiaTheme="minorEastAsia" w:hAnsiTheme="minorHAnsi" w:cstheme="minorBidi"/>
            <w:b w:val="0"/>
            <w:noProof/>
            <w:sz w:val="22"/>
            <w:szCs w:val="22"/>
            <w:lang w:val="sv-SE" w:eastAsia="sv-SE"/>
          </w:rPr>
          <w:tab/>
        </w:r>
        <w:r w:rsidR="004F6468" w:rsidRPr="00434A21">
          <w:rPr>
            <w:rStyle w:val="Hyperlink"/>
            <w:noProof/>
            <w:lang w:val="en-GB"/>
          </w:rPr>
          <w:t>In current specification, the activation delay dominates the beam management delay.</w:t>
        </w:r>
      </w:hyperlink>
    </w:p>
    <w:p w14:paraId="6225A1B8" w14:textId="0FBC7395"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2C1C4359" w14:textId="5B1F02CA" w:rsidR="004F6468"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Cs/>
        </w:rPr>
        <w:fldChar w:fldCharType="begin"/>
      </w:r>
      <w:r>
        <w:rPr>
          <w:bCs/>
        </w:rPr>
        <w:instrText xml:space="preserve"> TOC \n \h \z \t "Proposal" \c </w:instrText>
      </w:r>
      <w:r>
        <w:rPr>
          <w:bCs/>
        </w:rPr>
        <w:fldChar w:fldCharType="separate"/>
      </w:r>
      <w:hyperlink w:anchor="_Toc79658923" w:history="1">
        <w:r w:rsidR="004F6468" w:rsidRPr="000E02C3">
          <w:rPr>
            <w:rStyle w:val="Hyperlink"/>
            <w:noProof/>
            <w:lang w:eastAsia="ja-JP"/>
          </w:rPr>
          <w:t>Proposal 1</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eastAsia="ja-JP"/>
          </w:rPr>
          <w:t>If the UE is not provided a TCI state in the aperiodic triggering state, the UE applies the QCL assumptions of the PDCCH/PDSCH when receiving the CSI-RS.</w:t>
        </w:r>
      </w:hyperlink>
    </w:p>
    <w:p w14:paraId="535075C9" w14:textId="4D79F966"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24" w:history="1">
        <w:r w:rsidR="004F6468" w:rsidRPr="000E02C3">
          <w:rPr>
            <w:rStyle w:val="Hyperlink"/>
            <w:noProof/>
            <w:lang w:eastAsia="ja-JP"/>
          </w:rPr>
          <w:t>Proposal 2</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eastAsia="ja-JP"/>
          </w:rPr>
          <w:t>If the UE is not provided with qcl-InfoPeriodicCSI-RS for a periodic CSI-RS resource, the UE applies the QCL assumptions of the PDCCH/PDSCH when receiving the CSI-RS.</w:t>
        </w:r>
      </w:hyperlink>
    </w:p>
    <w:p w14:paraId="50C392A9" w14:textId="48079524"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25" w:history="1">
        <w:r w:rsidR="004F6468" w:rsidRPr="000E02C3">
          <w:rPr>
            <w:rStyle w:val="Hyperlink"/>
            <w:noProof/>
            <w:lang w:eastAsia="ja-JP"/>
          </w:rPr>
          <w:t>Proposal 3</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eastAsia="ja-JP"/>
          </w:rPr>
          <w:t>If there is no TCI state in the SP CSI-RS/CSI-IM Resource Set Activation/Deactivation MAC CE, the UE applies the QCL assumptions of the PDCCH/PDSCH when receiving the CSI-RS.</w:t>
        </w:r>
      </w:hyperlink>
    </w:p>
    <w:p w14:paraId="79DE33C9" w14:textId="79D6B692"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26" w:history="1">
        <w:r w:rsidR="004F6468" w:rsidRPr="000E02C3">
          <w:rPr>
            <w:rStyle w:val="Hyperlink"/>
            <w:noProof/>
            <w:lang w:eastAsia="ja-JP"/>
          </w:rPr>
          <w:t>Proposal 4</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eastAsia="ja-JP"/>
          </w:rPr>
          <w:t>It should be possible to explicitly provide the UE with a Rel-17 TCI state different from the TCI state of the PDCCH/PDSCH for the purpose of measurements on CSI-RS.</w:t>
        </w:r>
      </w:hyperlink>
    </w:p>
    <w:p w14:paraId="5C75906B" w14:textId="1D00B4ED"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27" w:history="1">
        <w:r w:rsidR="004F6468" w:rsidRPr="000E02C3">
          <w:rPr>
            <w:rStyle w:val="Hyperlink"/>
            <w:noProof/>
            <w:lang w:val="en-GB"/>
          </w:rPr>
          <w:t>Proposal 5</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val="en-GB"/>
          </w:rPr>
          <w:t>Reuse the Rel-15/16 QCL source signaling for all types of CSI-RS.</w:t>
        </w:r>
      </w:hyperlink>
    </w:p>
    <w:p w14:paraId="25323004" w14:textId="3D9221EC"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28" w:history="1">
        <w:r w:rsidR="004F6468" w:rsidRPr="000E02C3">
          <w:rPr>
            <w:rStyle w:val="Hyperlink"/>
            <w:noProof/>
            <w:lang w:val="en-GB"/>
          </w:rPr>
          <w:t>Proposal 6</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val="en-GB"/>
          </w:rPr>
          <w:t>For the unified TCI framework, the supported source/target QCL relations in the current TS38.214 V16.4.0 are supported for all QCL types.</w:t>
        </w:r>
      </w:hyperlink>
    </w:p>
    <w:p w14:paraId="1168C673" w14:textId="7EA18949"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29" w:history="1">
        <w:r w:rsidR="004F6468" w:rsidRPr="000E02C3">
          <w:rPr>
            <w:rStyle w:val="Hyperlink"/>
            <w:noProof/>
            <w:lang w:val="en-GB"/>
          </w:rPr>
          <w:t>Proposal 7</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val="en-GB"/>
          </w:rPr>
          <w:t>SRS for beam management cannot be configured as a source RS to represent a DL RX spatial filter.</w:t>
        </w:r>
      </w:hyperlink>
    </w:p>
    <w:p w14:paraId="7B91D7B5" w14:textId="63E209A4"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30" w:history="1">
        <w:r w:rsidR="004F6468" w:rsidRPr="000E02C3">
          <w:rPr>
            <w:rStyle w:val="Hyperlink"/>
            <w:noProof/>
            <w:lang w:val="en-GB" w:eastAsia="ja-JP"/>
          </w:rPr>
          <w:t>Proposal 8</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val="en-GB" w:eastAsia="ja-JP"/>
          </w:rPr>
          <w:t>Do not support mTRP operation, i.e., multiple activated TCI states for PDCCH/PDSCH reception or PUCCH/PUSCH transmission.</w:t>
        </w:r>
      </w:hyperlink>
    </w:p>
    <w:p w14:paraId="250D21DB" w14:textId="0F796591"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31" w:history="1">
        <w:r w:rsidR="004F6468" w:rsidRPr="000E02C3">
          <w:rPr>
            <w:rStyle w:val="Hyperlink"/>
            <w:noProof/>
            <w:lang w:val="en-GB" w:eastAsia="ja-JP"/>
          </w:rPr>
          <w:t>Proposal 9</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val="en-GB" w:eastAsia="ja-JP"/>
          </w:rPr>
          <w:t>It should be possible to provide a separate TCI state for measurements on aperiodic CSI-RS.</w:t>
        </w:r>
      </w:hyperlink>
    </w:p>
    <w:p w14:paraId="03D8A601" w14:textId="31ECC24F"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32" w:history="1">
        <w:r w:rsidR="004F6468" w:rsidRPr="000E02C3">
          <w:rPr>
            <w:rStyle w:val="Hyperlink"/>
            <w:noProof/>
            <w:lang w:val="en-GB"/>
          </w:rPr>
          <w:t>Proposal 10</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val="en-GB"/>
          </w:rPr>
          <w:t>The UL TCI state is taken from another pool of TCI states than the DL TCI state.</w:t>
        </w:r>
      </w:hyperlink>
    </w:p>
    <w:p w14:paraId="296526DE" w14:textId="584F4DB4"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33" w:history="1">
        <w:r w:rsidR="004F6468" w:rsidRPr="000E02C3">
          <w:rPr>
            <w:rStyle w:val="Hyperlink"/>
            <w:noProof/>
            <w:lang w:val="en-GB"/>
          </w:rPr>
          <w:t>Proposal 11</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val="en-GB"/>
          </w:rPr>
          <w:t>A reference BWP/CC is a BWP/CC where the PDSCH-Config contains a list of TCI states, created using tci-StatesToAddModList.</w:t>
        </w:r>
      </w:hyperlink>
    </w:p>
    <w:p w14:paraId="2890D676" w14:textId="363E0DA4"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34" w:history="1">
        <w:r w:rsidR="004F6468" w:rsidRPr="000E02C3">
          <w:rPr>
            <w:rStyle w:val="Hyperlink"/>
            <w:noProof/>
            <w:lang w:val="en-GB"/>
          </w:rPr>
          <w:t>Proposal 12</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val="en-GB"/>
          </w:rPr>
          <w:t>Reuse the DL TCI states from Rel-15/16 for the joint/DL TCI states, and add new fields to handle new functionality.</w:t>
        </w:r>
      </w:hyperlink>
    </w:p>
    <w:p w14:paraId="57802F1A" w14:textId="1FA7A35F"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35" w:history="1">
        <w:r w:rsidR="004F6468" w:rsidRPr="000E02C3">
          <w:rPr>
            <w:rStyle w:val="Hyperlink"/>
            <w:noProof/>
            <w:lang w:val="en-GB" w:eastAsia="ja-JP"/>
          </w:rPr>
          <w:t>Proposal 13</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val="en-GB" w:eastAsia="ja-JP"/>
          </w:rPr>
          <w:t>The PL-RS is either an SSB or a single-port CSI-RS.</w:t>
        </w:r>
      </w:hyperlink>
    </w:p>
    <w:p w14:paraId="6B9BE829" w14:textId="32651BCD"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36" w:history="1">
        <w:r w:rsidR="004F6468" w:rsidRPr="000E02C3">
          <w:rPr>
            <w:rStyle w:val="Hyperlink"/>
            <w:noProof/>
            <w:lang w:val="en-GB" w:eastAsia="ja-JP"/>
          </w:rPr>
          <w:t>Proposal 14</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rPr>
          <w:t>The setting of (P0, alpha, closed loop index) for SRS can be associated with UL or (if applicable) joint TCI state</w:t>
        </w:r>
        <w:r w:rsidR="004F6468" w:rsidRPr="000E02C3">
          <w:rPr>
            <w:rStyle w:val="Hyperlink"/>
            <w:rFonts w:ascii="Times New Roman" w:hAnsi="Times New Roman" w:cs="Times New Roman"/>
            <w:noProof/>
          </w:rPr>
          <w:t>.</w:t>
        </w:r>
      </w:hyperlink>
    </w:p>
    <w:p w14:paraId="5726666D" w14:textId="4CB08E52"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37" w:history="1">
        <w:r w:rsidR="004F6468" w:rsidRPr="000E02C3">
          <w:rPr>
            <w:rStyle w:val="Hyperlink"/>
            <w:noProof/>
          </w:rPr>
          <w:t>Proposal 15</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rPr>
          <w:t>(P0, alpha, closed loop index) are independently configured for PUSCH, PUCCH and SRS.</w:t>
        </w:r>
      </w:hyperlink>
    </w:p>
    <w:p w14:paraId="77345569" w14:textId="30BD1DDA"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38" w:history="1">
        <w:r w:rsidR="004F6468" w:rsidRPr="000E02C3">
          <w:rPr>
            <w:rStyle w:val="Hyperlink"/>
            <w:noProof/>
          </w:rPr>
          <w:t>Proposal 16</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rPr>
          <w:t>Both joint TCI and separate DL/UL TCI is supported for inter-cell beam management.</w:t>
        </w:r>
      </w:hyperlink>
    </w:p>
    <w:p w14:paraId="2DBD99FA" w14:textId="3DF03258"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39" w:history="1">
        <w:r w:rsidR="004F6468" w:rsidRPr="000E02C3">
          <w:rPr>
            <w:rStyle w:val="Hyperlink"/>
            <w:noProof/>
          </w:rPr>
          <w:t>Proposal 17</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rPr>
          <w:t>Limitations on the properties of the activated TCI states can be introduced during the UE feature discussions.</w:t>
        </w:r>
      </w:hyperlink>
    </w:p>
    <w:p w14:paraId="5DC8D6F9" w14:textId="159ADC52"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40" w:history="1">
        <w:r w:rsidR="004F6468" w:rsidRPr="000E02C3">
          <w:rPr>
            <w:rStyle w:val="Hyperlink"/>
            <w:noProof/>
          </w:rPr>
          <w:t>Proposal 18</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rPr>
          <w:t>Do not down select between MAC-CE only based and MAC-CE+DCI-based beam indication scheme.</w:t>
        </w:r>
      </w:hyperlink>
    </w:p>
    <w:p w14:paraId="7CEBEF69" w14:textId="1BC0B914"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41" w:history="1">
        <w:r w:rsidR="004F6468" w:rsidRPr="000E02C3">
          <w:rPr>
            <w:rStyle w:val="Hyperlink"/>
            <w:noProof/>
            <w:lang w:val="en-GB"/>
          </w:rPr>
          <w:t>Proposal 19</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val="en-GB"/>
          </w:rPr>
          <w:t>Up to 8 beams can be reported in a single CSI reporting instance.</w:t>
        </w:r>
      </w:hyperlink>
    </w:p>
    <w:p w14:paraId="024C9100" w14:textId="613D1284"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42" w:history="1">
        <w:r w:rsidR="004F6468" w:rsidRPr="000E02C3">
          <w:rPr>
            <w:rStyle w:val="Hyperlink"/>
            <w:noProof/>
            <w:lang w:val="en-GB"/>
          </w:rPr>
          <w:t>Proposal 20</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val="en-GB"/>
          </w:rPr>
          <w:t>Do not introduce event-driven reporting on L1/L2 in Rel-17.</w:t>
        </w:r>
      </w:hyperlink>
    </w:p>
    <w:p w14:paraId="4E63583C" w14:textId="2F956977"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43" w:history="1">
        <w:r w:rsidR="004F6468" w:rsidRPr="000E02C3">
          <w:rPr>
            <w:rStyle w:val="Hyperlink"/>
            <w:noProof/>
            <w:lang w:val="en-GB"/>
          </w:rPr>
          <w:t>Proposal 21</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val="en-GB"/>
          </w:rPr>
          <w:t>Up to K non-serving cells can be included in one CSI reporting instance.</w:t>
        </w:r>
      </w:hyperlink>
    </w:p>
    <w:p w14:paraId="543CC838" w14:textId="03151E76"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44" w:history="1">
        <w:r w:rsidR="004F6468" w:rsidRPr="000E02C3">
          <w:rPr>
            <w:rStyle w:val="Hyperlink"/>
            <w:noProof/>
          </w:rPr>
          <w:t>Proposal 22</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rPr>
          <w:t xml:space="preserve">Define the </w:t>
        </w:r>
        <w:r w:rsidR="004F6468" w:rsidRPr="000E02C3">
          <w:rPr>
            <w:rStyle w:val="Hyperlink"/>
            <w:i/>
            <w:noProof/>
          </w:rPr>
          <w:t xml:space="preserve">CSI-SSB-ResourceSet </w:t>
        </w:r>
        <w:r w:rsidR="004F6468" w:rsidRPr="000E02C3">
          <w:rPr>
            <w:rStyle w:val="Hyperlink"/>
            <w:noProof/>
          </w:rPr>
          <w:t>so that one report can contain measurements from different cells.</w:t>
        </w:r>
      </w:hyperlink>
    </w:p>
    <w:p w14:paraId="3AD9F5B2" w14:textId="59568D14"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45" w:history="1">
        <w:r w:rsidR="004F6468" w:rsidRPr="000E02C3">
          <w:rPr>
            <w:rStyle w:val="Hyperlink"/>
            <w:noProof/>
          </w:rPr>
          <w:t>Proposal 23</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rPr>
          <w:t>Support L1-RSRP measurements on CSI-RS for BM associated with a non-serving cell.</w:t>
        </w:r>
      </w:hyperlink>
    </w:p>
    <w:p w14:paraId="56B36FF9" w14:textId="08360610"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46" w:history="1">
        <w:r w:rsidR="004F6468" w:rsidRPr="000E02C3">
          <w:rPr>
            <w:rStyle w:val="Hyperlink"/>
            <w:noProof/>
          </w:rPr>
          <w:t>Proposal 24</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rPr>
          <w:t>Non-serving cell information includes PCI of the non-serving cell.</w:t>
        </w:r>
      </w:hyperlink>
    </w:p>
    <w:p w14:paraId="3CDB9A25" w14:textId="7B06205B"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47" w:history="1">
        <w:r w:rsidR="004F6468" w:rsidRPr="000E02C3">
          <w:rPr>
            <w:rStyle w:val="Hyperlink"/>
            <w:noProof/>
          </w:rPr>
          <w:t>Proposal 25</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rPr>
          <w:t>Non-serving cell information includes SSB time domain position, SSB transmission periodicity and SSB transmission power.</w:t>
        </w:r>
      </w:hyperlink>
    </w:p>
    <w:p w14:paraId="4FB54C7D" w14:textId="633A6C1F"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48" w:history="1">
        <w:r w:rsidR="004F6468" w:rsidRPr="000E02C3">
          <w:rPr>
            <w:rStyle w:val="Hyperlink"/>
            <w:noProof/>
          </w:rPr>
          <w:t>Proposal 26</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rPr>
          <w:t>For inter-cell beam management, the signals from the different TRPs are not required to arrive within the CP.</w:t>
        </w:r>
      </w:hyperlink>
    </w:p>
    <w:p w14:paraId="79444973" w14:textId="285C408F"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49" w:history="1">
        <w:r w:rsidR="004F6468" w:rsidRPr="000E02C3">
          <w:rPr>
            <w:rStyle w:val="Hyperlink"/>
            <w:noProof/>
          </w:rPr>
          <w:t>Proposal 27</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rPr>
          <w:t>For inter-cell beam management, the UE only maintains a single TA value.</w:t>
        </w:r>
      </w:hyperlink>
    </w:p>
    <w:p w14:paraId="4BC2AC26" w14:textId="1536ABD4"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50" w:history="1">
        <w:r w:rsidR="004F6468" w:rsidRPr="000E02C3">
          <w:rPr>
            <w:rStyle w:val="Hyperlink"/>
            <w:noProof/>
          </w:rPr>
          <w:t>Proposal 28</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rPr>
          <w:t>The beam application time and the related UE capability is given in symbols.</w:t>
        </w:r>
      </w:hyperlink>
    </w:p>
    <w:p w14:paraId="065312E3" w14:textId="313660EC"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51" w:history="1">
        <w:r w:rsidR="004F6468" w:rsidRPr="000E02C3">
          <w:rPr>
            <w:rStyle w:val="Hyperlink"/>
            <w:noProof/>
            <w:lang w:val="en-GB"/>
          </w:rPr>
          <w:t>Proposal 29</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val="en-GB"/>
          </w:rPr>
          <w:t>No additional specification support is introduced for UE Tx panel selection on top of the agreed Rel.17 TCI state signalling.</w:t>
        </w:r>
      </w:hyperlink>
    </w:p>
    <w:p w14:paraId="3C084337" w14:textId="0D6AA82E"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52" w:history="1">
        <w:r w:rsidR="004F6468" w:rsidRPr="000E02C3">
          <w:rPr>
            <w:rStyle w:val="Hyperlink"/>
            <w:noProof/>
            <w:lang w:val="en-GB"/>
          </w:rPr>
          <w:t>Proposal 30</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val="en-GB"/>
          </w:rPr>
          <w:t xml:space="preserve">After a small delay, the UE must be prepared to </w:t>
        </w:r>
        <w:r w:rsidR="004F6468" w:rsidRPr="000E02C3">
          <w:rPr>
            <w:rStyle w:val="Hyperlink"/>
            <w:noProof/>
            <w:lang w:val="en-GB" w:eastAsia="ja-JP"/>
          </w:rPr>
          <w:t xml:space="preserve">receive on a panel corresponding to an </w:t>
        </w:r>
        <w:r w:rsidR="004F6468" w:rsidRPr="000E02C3">
          <w:rPr>
            <w:rStyle w:val="Hyperlink"/>
            <w:i/>
            <w:noProof/>
            <w:lang w:val="en-GB" w:eastAsia="ja-JP"/>
          </w:rPr>
          <w:t>activated DL TCI state</w:t>
        </w:r>
        <w:r w:rsidR="004F6468" w:rsidRPr="000E02C3">
          <w:rPr>
            <w:rStyle w:val="Hyperlink"/>
            <w:noProof/>
            <w:lang w:val="en-GB" w:eastAsia="ja-JP"/>
          </w:rPr>
          <w:t xml:space="preserve">, and must be prepared to transmit on a panel corresponding to an </w:t>
        </w:r>
        <w:r w:rsidR="004F6468" w:rsidRPr="000E02C3">
          <w:rPr>
            <w:rStyle w:val="Hyperlink"/>
            <w:i/>
            <w:noProof/>
            <w:lang w:val="en-GB" w:eastAsia="ja-JP"/>
          </w:rPr>
          <w:t>activated UL TCI state</w:t>
        </w:r>
        <w:r w:rsidR="004F6468" w:rsidRPr="000E02C3">
          <w:rPr>
            <w:rStyle w:val="Hyperlink"/>
            <w:noProof/>
            <w:lang w:val="en-GB" w:eastAsia="ja-JP"/>
          </w:rPr>
          <w:t>.</w:t>
        </w:r>
      </w:hyperlink>
    </w:p>
    <w:p w14:paraId="24076A07" w14:textId="79235C1F"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53" w:history="1">
        <w:r w:rsidR="004F6468" w:rsidRPr="000E02C3">
          <w:rPr>
            <w:rStyle w:val="Hyperlink"/>
            <w:noProof/>
            <w:lang w:val="en-GB"/>
          </w:rPr>
          <w:t>Proposal 31</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val="en-GB"/>
          </w:rPr>
          <w:t>Consider introducing a measurement report that contains the maximum number of UL MIMO layers for each reported SSBRI/CRI</w:t>
        </w:r>
      </w:hyperlink>
    </w:p>
    <w:p w14:paraId="4B7B483D" w14:textId="6BC8C78F"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54" w:history="1">
        <w:r w:rsidR="004F6468" w:rsidRPr="000E02C3">
          <w:rPr>
            <w:rStyle w:val="Hyperlink"/>
            <w:noProof/>
            <w:lang w:val="en-GB"/>
          </w:rPr>
          <w:t>Proposal 32</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val="en-GB"/>
          </w:rPr>
          <w:t>Support SSBRI/CRI reporting with a new reporting quantity that describes properties of an UL transmission that has the reported SSBRI/CRI in the UL TCI state.</w:t>
        </w:r>
      </w:hyperlink>
    </w:p>
    <w:p w14:paraId="538F20C1" w14:textId="66A6086E"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55" w:history="1">
        <w:r w:rsidR="004F6468" w:rsidRPr="000E02C3">
          <w:rPr>
            <w:rStyle w:val="Hyperlink"/>
            <w:noProof/>
            <w:lang w:val="en-GB" w:eastAsia="ja-JP"/>
          </w:rPr>
          <w:t>Proposal 33</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val="en-GB" w:eastAsia="ja-JP"/>
          </w:rPr>
          <w:t>Introduce UL-RSRP = L1-RSRP + PUL as a new reporting quantity in the CSI framework.</w:t>
        </w:r>
      </w:hyperlink>
    </w:p>
    <w:p w14:paraId="34E868BA" w14:textId="74D24657"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56" w:history="1">
        <w:r w:rsidR="004F6468" w:rsidRPr="000E02C3">
          <w:rPr>
            <w:rStyle w:val="Hyperlink"/>
            <w:noProof/>
          </w:rPr>
          <w:t>Proposal 34</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rPr>
          <w:t>After performing a measurement on an aperiodic CSI-RS, the UE would update the TCI state used as QCL source for the PDCCH/PDSCH DMRS to the QCL source corresponding to the best CSI-RS.</w:t>
        </w:r>
      </w:hyperlink>
    </w:p>
    <w:p w14:paraId="53066E87" w14:textId="7E069CAD"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57" w:history="1">
        <w:r w:rsidR="004F6468" w:rsidRPr="000E02C3">
          <w:rPr>
            <w:rStyle w:val="Hyperlink"/>
            <w:noProof/>
            <w:lang w:val="en-GB"/>
          </w:rPr>
          <w:t>Proposal 35</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val="en-GB"/>
          </w:rPr>
          <w:t>The UE can be configured to store the QCL properties of a subset of the RSs it has reported for a limited period of time.</w:t>
        </w:r>
      </w:hyperlink>
    </w:p>
    <w:p w14:paraId="38CB0B68" w14:textId="751F97AD"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58" w:history="1">
        <w:r w:rsidR="004F6468" w:rsidRPr="000E02C3">
          <w:rPr>
            <w:rStyle w:val="Hyperlink"/>
            <w:noProof/>
            <w:lang w:val="en-GB"/>
          </w:rPr>
          <w:t>Proposal 36</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val="en-GB"/>
          </w:rPr>
          <w:t>Explain the identified issue on TCI state activation delay in relation to the RAN1 work in a future LS to RAN4.</w:t>
        </w:r>
      </w:hyperlink>
    </w:p>
    <w:p w14:paraId="608170DE" w14:textId="2D1A358B" w:rsidR="004F6468" w:rsidRDefault="004A6D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658959" w:history="1">
        <w:r w:rsidR="004F6468" w:rsidRPr="000E02C3">
          <w:rPr>
            <w:rStyle w:val="Hyperlink"/>
            <w:noProof/>
            <w:lang w:val="en-GB"/>
          </w:rPr>
          <w:t>Proposal 37</w:t>
        </w:r>
        <w:r w:rsidR="004F6468">
          <w:rPr>
            <w:rFonts w:asciiTheme="minorHAnsi" w:eastAsiaTheme="minorEastAsia" w:hAnsiTheme="minorHAnsi" w:cstheme="minorBidi"/>
            <w:b w:val="0"/>
            <w:noProof/>
            <w:sz w:val="22"/>
            <w:szCs w:val="22"/>
            <w:lang w:val="sv-SE" w:eastAsia="sv-SE"/>
          </w:rPr>
          <w:tab/>
        </w:r>
        <w:r w:rsidR="004F6468" w:rsidRPr="000E02C3">
          <w:rPr>
            <w:rStyle w:val="Hyperlink"/>
            <w:noProof/>
            <w:lang w:val="en-GB"/>
          </w:rPr>
          <w:t>Send an LS to RAN4 describing that RAN1 is considering faster beam updates and explain that one-shot timing adjustment would constitute a very important building block in that work.</w:t>
        </w:r>
      </w:hyperlink>
    </w:p>
    <w:p w14:paraId="58ACA235" w14:textId="60D3D78D"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69" w:name="_In-sequence_SDU_delivery"/>
      <w:bookmarkEnd w:id="69"/>
      <w:r w:rsidRPr="00CE0424">
        <w:t>References</w:t>
      </w:r>
    </w:p>
    <w:p w14:paraId="666FA4A0" w14:textId="78414464" w:rsidR="00B54DD6" w:rsidRPr="00B25BEA" w:rsidRDefault="00B54DD6" w:rsidP="000E0F2D">
      <w:pPr>
        <w:pStyle w:val="Reference"/>
      </w:pPr>
      <w:bookmarkStart w:id="70" w:name="_Ref31185007"/>
      <w:bookmarkStart w:id="71" w:name="_Ref174151459"/>
      <w:bookmarkStart w:id="72" w:name="_Ref189809556"/>
      <w:r w:rsidRPr="00B25BEA">
        <w:t>RP-</w:t>
      </w:r>
      <w:r w:rsidR="006E062B">
        <w:t>211586</w:t>
      </w:r>
      <w:r w:rsidRPr="00B25BEA">
        <w:t xml:space="preserve">, </w:t>
      </w:r>
      <w:r w:rsidR="006E062B">
        <w:t>Revised</w:t>
      </w:r>
      <w:r w:rsidRPr="00B25BEA">
        <w:t xml:space="preserve"> WID: Further enhancements on MIMO for NR, Samsung, RAN#</w:t>
      </w:r>
      <w:r w:rsidR="006E062B">
        <w:t>92e</w:t>
      </w:r>
      <w:r w:rsidRPr="00B25BEA">
        <w:t xml:space="preserve">, </w:t>
      </w:r>
      <w:r w:rsidR="006E062B">
        <w:t>June 2021</w:t>
      </w:r>
      <w:bookmarkEnd w:id="70"/>
      <w:r w:rsidRPr="00B25BEA">
        <w:t xml:space="preserve"> </w:t>
      </w:r>
    </w:p>
    <w:p w14:paraId="1EB196DF" w14:textId="7DD4C93F" w:rsidR="00D37587" w:rsidRDefault="00D37587" w:rsidP="000E0F2D">
      <w:pPr>
        <w:pStyle w:val="Reference"/>
      </w:pPr>
      <w:bookmarkStart w:id="73" w:name="_Ref53994573"/>
      <w:r w:rsidRPr="00D37587">
        <w:t>3GPP TS 38.133 V16.</w:t>
      </w:r>
      <w:r w:rsidR="001B35B1">
        <w:t>2</w:t>
      </w:r>
      <w:r w:rsidRPr="00D37587">
        <w:t>.0</w:t>
      </w:r>
      <w:r>
        <w:t>, NR; Requirements for support of radio resource management, RAN#8</w:t>
      </w:r>
      <w:r w:rsidR="001B35B1">
        <w:t>6</w:t>
      </w:r>
      <w:r>
        <w:t xml:space="preserve">, </w:t>
      </w:r>
      <w:r w:rsidR="001B35B1">
        <w:t xml:space="preserve">Sitges, December </w:t>
      </w:r>
      <w:r>
        <w:t>20</w:t>
      </w:r>
      <w:r w:rsidR="001B35B1">
        <w:t>19</w:t>
      </w:r>
      <w:bookmarkEnd w:id="73"/>
    </w:p>
    <w:p w14:paraId="6E2D101F" w14:textId="4DCF7CE2" w:rsidR="00D37587" w:rsidRDefault="00D37587" w:rsidP="000E0F2D">
      <w:pPr>
        <w:pStyle w:val="Reference"/>
      </w:pPr>
      <w:bookmarkStart w:id="74" w:name="_Ref53994575"/>
      <w:r w:rsidRPr="00D37587">
        <w:t>3GPP TS 38.133 V16.</w:t>
      </w:r>
      <w:r w:rsidR="001B35B1">
        <w:t>3</w:t>
      </w:r>
      <w:r w:rsidRPr="00D37587">
        <w:t>.0</w:t>
      </w:r>
      <w:r>
        <w:t>, NR; Requirements for support of radio resource management, RAN#8</w:t>
      </w:r>
      <w:r w:rsidR="001B35B1">
        <w:t>7</w:t>
      </w:r>
      <w:r>
        <w:t xml:space="preserve">, </w:t>
      </w:r>
      <w:r w:rsidR="001B35B1">
        <w:t>March</w:t>
      </w:r>
      <w:r>
        <w:t xml:space="preserve"> 2020</w:t>
      </w:r>
      <w:bookmarkEnd w:id="74"/>
    </w:p>
    <w:p w14:paraId="0712900E" w14:textId="5474004B" w:rsidR="00D37587" w:rsidRPr="00786D65" w:rsidRDefault="00EC24C6" w:rsidP="000E0F2D">
      <w:pPr>
        <w:pStyle w:val="Reference"/>
      </w:pPr>
      <w:bookmarkStart w:id="75" w:name="_Ref54262177"/>
      <w:r w:rsidRPr="00786D65">
        <w:t>R1-20</w:t>
      </w:r>
      <w:r w:rsidR="00786D65" w:rsidRPr="00786D65">
        <w:t>09290</w:t>
      </w:r>
      <w:r w:rsidRPr="00786D65">
        <w:t xml:space="preserve"> Additional simulation results for multi-beam operation, Ericsson, RAN1#103</w:t>
      </w:r>
      <w:r w:rsidR="00C66986" w:rsidRPr="00786D65">
        <w:t>-</w:t>
      </w:r>
      <w:r w:rsidRPr="00786D65">
        <w:t>e, October 2020</w:t>
      </w:r>
      <w:bookmarkEnd w:id="75"/>
    </w:p>
    <w:p w14:paraId="53C544C4" w14:textId="4A878975" w:rsidR="00786D65" w:rsidRPr="00A645FD" w:rsidRDefault="00786D65" w:rsidP="000E0F2D">
      <w:pPr>
        <w:pStyle w:val="Reference"/>
      </w:pPr>
      <w:bookmarkStart w:id="76" w:name="_Ref61434316"/>
      <w:bookmarkStart w:id="77" w:name="_Ref61433876"/>
      <w:bookmarkStart w:id="78" w:name="_Hlk61857234"/>
      <w:r w:rsidRPr="00A645FD">
        <w:t>R1-21</w:t>
      </w:r>
      <w:r w:rsidR="00A645FD" w:rsidRPr="00A645FD">
        <w:t>01318</w:t>
      </w:r>
      <w:r w:rsidRPr="00A645FD">
        <w:t xml:space="preserve"> Additional simulation results for multi-beam operation, Ericsson, RAN1#104-e, January 2021</w:t>
      </w:r>
      <w:bookmarkEnd w:id="76"/>
      <w:bookmarkEnd w:id="77"/>
    </w:p>
    <w:p w14:paraId="36150A31" w14:textId="36DB7988" w:rsidR="00786D65" w:rsidRDefault="0079197E" w:rsidP="000E0F2D">
      <w:pPr>
        <w:pStyle w:val="Reference"/>
      </w:pPr>
      <w:bookmarkStart w:id="79" w:name="_Ref54161672"/>
      <w:bookmarkEnd w:id="78"/>
      <w:r w:rsidRPr="00282AE3">
        <w:t>R1-2007151</w:t>
      </w:r>
      <w:r>
        <w:t xml:space="preserve">, </w:t>
      </w:r>
      <w:r w:rsidRPr="00282AE3">
        <w:t>R17 FeMIMO summary Item 1 EVM - final</w:t>
      </w:r>
      <w:r>
        <w:t>, Samsung, RAN1</w:t>
      </w:r>
      <w:r w:rsidRPr="00756C95">
        <w:t>#102-e</w:t>
      </w:r>
      <w:r>
        <w:t xml:space="preserve">, </w:t>
      </w:r>
      <w:r w:rsidRPr="003760C0">
        <w:t>August 2020</w:t>
      </w:r>
      <w:bookmarkEnd w:id="79"/>
    </w:p>
    <w:p w14:paraId="1CD21C8B" w14:textId="6F472541" w:rsidR="00164071" w:rsidRPr="005A63F6" w:rsidRDefault="00164071" w:rsidP="000E0F2D">
      <w:pPr>
        <w:pStyle w:val="Reference"/>
      </w:pPr>
      <w:r w:rsidRPr="00164071">
        <w:t>R1-2100636</w:t>
      </w:r>
      <w:r>
        <w:t xml:space="preserve">, </w:t>
      </w:r>
      <w:r w:rsidRPr="00164071">
        <w:t>Enhancements to Multi-Beam Operations</w:t>
      </w:r>
      <w:r>
        <w:t>, Intel, RAN1#104-e, January 2021</w:t>
      </w:r>
    </w:p>
    <w:bookmarkEnd w:id="71"/>
    <w:bookmarkEnd w:id="72"/>
    <w:p w14:paraId="715CA09B" w14:textId="77777777" w:rsidR="003A7EF3" w:rsidRPr="00CE0424" w:rsidRDefault="003A7EF3" w:rsidP="000E0F2D">
      <w:pPr>
        <w:pStyle w:val="BodyText"/>
      </w:pPr>
    </w:p>
    <w:sectPr w:rsidR="003A7EF3" w:rsidRPr="00CE0424" w:rsidSect="000E584B">
      <w:headerReference w:type="even" r:id="rId16"/>
      <w:headerReference w:type="default"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77E69" w14:textId="77777777" w:rsidR="00E376B5" w:rsidRDefault="00E376B5">
      <w:r>
        <w:separator/>
      </w:r>
    </w:p>
  </w:endnote>
  <w:endnote w:type="continuationSeparator" w:id="0">
    <w:p w14:paraId="11E5716A" w14:textId="77777777" w:rsidR="00E376B5" w:rsidRDefault="00E376B5">
      <w:r>
        <w:continuationSeparator/>
      </w:r>
    </w:p>
  </w:endnote>
  <w:endnote w:type="continuationNotice" w:id="1">
    <w:p w14:paraId="72F4F2D6" w14:textId="77777777" w:rsidR="00E376B5" w:rsidRDefault="00E376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E376B5" w:rsidRDefault="00E376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D74E3E" w14:textId="77777777" w:rsidR="00E376B5" w:rsidRDefault="00E376B5">
      <w:r>
        <w:separator/>
      </w:r>
    </w:p>
  </w:footnote>
  <w:footnote w:type="continuationSeparator" w:id="0">
    <w:p w14:paraId="1820C180" w14:textId="77777777" w:rsidR="00E376B5" w:rsidRDefault="00E376B5">
      <w:r>
        <w:continuationSeparator/>
      </w:r>
    </w:p>
  </w:footnote>
  <w:footnote w:type="continuationNotice" w:id="1">
    <w:p w14:paraId="51B4BF3B" w14:textId="77777777" w:rsidR="00E376B5" w:rsidRDefault="00E376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E376B5" w:rsidRDefault="00E376B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00E376B5" w14:paraId="7B7F121C" w14:textId="77777777" w:rsidTr="5F58E1D7">
      <w:tc>
        <w:tcPr>
          <w:tcW w:w="3210" w:type="dxa"/>
        </w:tcPr>
        <w:p w14:paraId="4EC4B982" w14:textId="447AD149" w:rsidR="00E376B5" w:rsidRDefault="00E376B5" w:rsidP="5F58E1D7">
          <w:pPr>
            <w:pStyle w:val="Header"/>
            <w:ind w:left="-115"/>
          </w:pPr>
        </w:p>
      </w:tc>
      <w:tc>
        <w:tcPr>
          <w:tcW w:w="3210" w:type="dxa"/>
        </w:tcPr>
        <w:p w14:paraId="3C81753F" w14:textId="50E83E80" w:rsidR="00E376B5" w:rsidRDefault="00E376B5" w:rsidP="5F58E1D7">
          <w:pPr>
            <w:pStyle w:val="Header"/>
            <w:jc w:val="center"/>
          </w:pPr>
        </w:p>
      </w:tc>
      <w:tc>
        <w:tcPr>
          <w:tcW w:w="3210" w:type="dxa"/>
        </w:tcPr>
        <w:p w14:paraId="651B1CCE" w14:textId="2CB4BF90" w:rsidR="00E376B5" w:rsidRDefault="00E376B5" w:rsidP="5F58E1D7">
          <w:pPr>
            <w:pStyle w:val="Header"/>
            <w:ind w:right="-115"/>
            <w:jc w:val="right"/>
          </w:pPr>
        </w:p>
      </w:tc>
    </w:tr>
  </w:tbl>
  <w:p w14:paraId="0CEBBD1C" w14:textId="4F7E1E25" w:rsidR="00E376B5" w:rsidRDefault="00E37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10D7548"/>
    <w:multiLevelType w:val="hybridMultilevel"/>
    <w:tmpl w:val="3CF4EB40"/>
    <w:lvl w:ilvl="0" w:tplc="0409000F">
      <w:start w:val="1"/>
      <w:numFmt w:val="decimal"/>
      <w:lvlText w:val="%1."/>
      <w:lvlJc w:val="left"/>
      <w:pPr>
        <w:ind w:left="2520" w:hanging="360"/>
      </w:pPr>
      <w:rPr>
        <w:rFonts w:hint="default"/>
      </w:rPr>
    </w:lvl>
    <w:lvl w:ilvl="1" w:tplc="041D0019" w:tentative="1">
      <w:start w:val="1"/>
      <w:numFmt w:val="lowerLetter"/>
      <w:lvlText w:val="%2."/>
      <w:lvlJc w:val="left"/>
      <w:pPr>
        <w:ind w:left="2880" w:hanging="360"/>
      </w:pPr>
    </w:lvl>
    <w:lvl w:ilvl="2" w:tplc="041D001B" w:tentative="1">
      <w:start w:val="1"/>
      <w:numFmt w:val="lowerRoman"/>
      <w:lvlText w:val="%3."/>
      <w:lvlJc w:val="right"/>
      <w:pPr>
        <w:ind w:left="3600" w:hanging="180"/>
      </w:pPr>
    </w:lvl>
    <w:lvl w:ilvl="3" w:tplc="041D000F" w:tentative="1">
      <w:start w:val="1"/>
      <w:numFmt w:val="decimal"/>
      <w:lvlText w:val="%4."/>
      <w:lvlJc w:val="left"/>
      <w:pPr>
        <w:ind w:left="4320" w:hanging="360"/>
      </w:pPr>
    </w:lvl>
    <w:lvl w:ilvl="4" w:tplc="041D0019" w:tentative="1">
      <w:start w:val="1"/>
      <w:numFmt w:val="lowerLetter"/>
      <w:lvlText w:val="%5."/>
      <w:lvlJc w:val="left"/>
      <w:pPr>
        <w:ind w:left="5040" w:hanging="360"/>
      </w:pPr>
    </w:lvl>
    <w:lvl w:ilvl="5" w:tplc="041D001B" w:tentative="1">
      <w:start w:val="1"/>
      <w:numFmt w:val="lowerRoman"/>
      <w:lvlText w:val="%6."/>
      <w:lvlJc w:val="right"/>
      <w:pPr>
        <w:ind w:left="5760" w:hanging="180"/>
      </w:pPr>
    </w:lvl>
    <w:lvl w:ilvl="6" w:tplc="041D000F" w:tentative="1">
      <w:start w:val="1"/>
      <w:numFmt w:val="decimal"/>
      <w:lvlText w:val="%7."/>
      <w:lvlJc w:val="left"/>
      <w:pPr>
        <w:ind w:left="6480" w:hanging="360"/>
      </w:pPr>
    </w:lvl>
    <w:lvl w:ilvl="7" w:tplc="041D0019" w:tentative="1">
      <w:start w:val="1"/>
      <w:numFmt w:val="lowerLetter"/>
      <w:lvlText w:val="%8."/>
      <w:lvlJc w:val="left"/>
      <w:pPr>
        <w:ind w:left="7200" w:hanging="360"/>
      </w:pPr>
    </w:lvl>
    <w:lvl w:ilvl="8" w:tplc="041D001B" w:tentative="1">
      <w:start w:val="1"/>
      <w:numFmt w:val="lowerRoman"/>
      <w:lvlText w:val="%9."/>
      <w:lvlJc w:val="right"/>
      <w:pPr>
        <w:ind w:left="7920" w:hanging="180"/>
      </w:pPr>
    </w:lvl>
  </w:abstractNum>
  <w:abstractNum w:abstractNumId="2" w15:restartNumberingAfterBreak="0">
    <w:nsid w:val="0F4E614F"/>
    <w:multiLevelType w:val="hybridMultilevel"/>
    <w:tmpl w:val="E3EEBC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57F5CA1"/>
    <w:multiLevelType w:val="hybridMultilevel"/>
    <w:tmpl w:val="A9A4AD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9C3693"/>
    <w:multiLevelType w:val="hybridMultilevel"/>
    <w:tmpl w:val="A4D04E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CCF36EE"/>
    <w:multiLevelType w:val="hybridMultilevel"/>
    <w:tmpl w:val="16DC5D6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BC1F51"/>
    <w:multiLevelType w:val="hybridMultilevel"/>
    <w:tmpl w:val="578AE5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ED6C8D"/>
    <w:multiLevelType w:val="hybridMultilevel"/>
    <w:tmpl w:val="487E7D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830605"/>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8"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D1073F8"/>
    <w:multiLevelType w:val="hybridMultilevel"/>
    <w:tmpl w:val="8B581F58"/>
    <w:lvl w:ilvl="0" w:tplc="3EACB6FC">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2C86289"/>
    <w:multiLevelType w:val="hybridMultilevel"/>
    <w:tmpl w:val="C278278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381735"/>
    <w:multiLevelType w:val="hybridMultilevel"/>
    <w:tmpl w:val="DB5856DC"/>
    <w:lvl w:ilvl="0" w:tplc="6318FDD0">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7F20E86"/>
    <w:multiLevelType w:val="hybridMultilevel"/>
    <w:tmpl w:val="ACEA0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6F604A1"/>
    <w:multiLevelType w:val="hybridMultilevel"/>
    <w:tmpl w:val="841C8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9"/>
  </w:num>
  <w:num w:numId="2">
    <w:abstractNumId w:val="23"/>
  </w:num>
  <w:num w:numId="3">
    <w:abstractNumId w:val="0"/>
  </w:num>
  <w:num w:numId="4">
    <w:abstractNumId w:val="30"/>
  </w:num>
  <w:num w:numId="5">
    <w:abstractNumId w:val="31"/>
  </w:num>
  <w:num w:numId="6">
    <w:abstractNumId w:val="32"/>
  </w:num>
  <w:num w:numId="7">
    <w:abstractNumId w:val="11"/>
  </w:num>
  <w:num w:numId="8">
    <w:abstractNumId w:val="12"/>
  </w:num>
  <w:num w:numId="9">
    <w:abstractNumId w:val="3"/>
  </w:num>
  <w:num w:numId="10">
    <w:abstractNumId w:val="43"/>
  </w:num>
  <w:num w:numId="11">
    <w:abstractNumId w:val="18"/>
  </w:num>
  <w:num w:numId="12">
    <w:abstractNumId w:val="41"/>
  </w:num>
  <w:num w:numId="13">
    <w:abstractNumId w:val="33"/>
  </w:num>
  <w:num w:numId="14">
    <w:abstractNumId w:val="36"/>
  </w:num>
  <w:num w:numId="15">
    <w:abstractNumId w:val="16"/>
  </w:num>
  <w:num w:numId="16">
    <w:abstractNumId w:val="9"/>
  </w:num>
  <w:num w:numId="17">
    <w:abstractNumId w:val="40"/>
  </w:num>
  <w:num w:numId="18">
    <w:abstractNumId w:val="28"/>
  </w:num>
  <w:num w:numId="19">
    <w:abstractNumId w:val="47"/>
  </w:num>
  <w:num w:numId="20">
    <w:abstractNumId w:val="46"/>
  </w:num>
  <w:num w:numId="21">
    <w:abstractNumId w:val="7"/>
  </w:num>
  <w:num w:numId="22">
    <w:abstractNumId w:val="13"/>
  </w:num>
  <w:num w:numId="23">
    <w:abstractNumId w:val="45"/>
  </w:num>
  <w:num w:numId="24">
    <w:abstractNumId w:val="34"/>
  </w:num>
  <w:num w:numId="25">
    <w:abstractNumId w:val="19"/>
  </w:num>
  <w:num w:numId="26">
    <w:abstractNumId w:val="48"/>
  </w:num>
  <w:num w:numId="27">
    <w:abstractNumId w:val="6"/>
  </w:num>
  <w:num w:numId="28">
    <w:abstractNumId w:val="14"/>
  </w:num>
  <w:num w:numId="29">
    <w:abstractNumId w:val="2"/>
  </w:num>
  <w:num w:numId="30">
    <w:abstractNumId w:val="44"/>
  </w:num>
  <w:num w:numId="31">
    <w:abstractNumId w:val="27"/>
  </w:num>
  <w:num w:numId="32">
    <w:abstractNumId w:val="38"/>
  </w:num>
  <w:num w:numId="33">
    <w:abstractNumId w:val="42"/>
  </w:num>
  <w:num w:numId="34">
    <w:abstractNumId w:val="22"/>
  </w:num>
  <w:num w:numId="35">
    <w:abstractNumId w:val="35"/>
  </w:num>
  <w:num w:numId="36">
    <w:abstractNumId w:val="39"/>
  </w:num>
  <w:num w:numId="37">
    <w:abstractNumId w:val="24"/>
  </w:num>
  <w:num w:numId="38">
    <w:abstractNumId w:val="5"/>
  </w:num>
  <w:num w:numId="39">
    <w:abstractNumId w:val="21"/>
  </w:num>
  <w:num w:numId="40">
    <w:abstractNumId w:val="15"/>
  </w:num>
  <w:num w:numId="41">
    <w:abstractNumId w:val="25"/>
  </w:num>
  <w:num w:numId="42">
    <w:abstractNumId w:val="1"/>
  </w:num>
  <w:num w:numId="43">
    <w:abstractNumId w:val="37"/>
  </w:num>
  <w:num w:numId="44">
    <w:abstractNumId w:val="20"/>
  </w:num>
  <w:num w:numId="45">
    <w:abstractNumId w:val="26"/>
  </w:num>
  <w:num w:numId="46">
    <w:abstractNumId w:val="8"/>
  </w:num>
  <w:num w:numId="47">
    <w:abstractNumId w:val="17"/>
  </w:num>
  <w:num w:numId="48">
    <w:abstractNumId w:val="4"/>
  </w:num>
  <w:num w:numId="49">
    <w:abstractNumId w:val="1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6446"/>
    <w:rsid w:val="00006896"/>
    <w:rsid w:val="00007A7D"/>
    <w:rsid w:val="00007CDC"/>
    <w:rsid w:val="0001075B"/>
    <w:rsid w:val="00011B28"/>
    <w:rsid w:val="00012F56"/>
    <w:rsid w:val="00013AAE"/>
    <w:rsid w:val="00015D15"/>
    <w:rsid w:val="000170F6"/>
    <w:rsid w:val="0002098F"/>
    <w:rsid w:val="00021E0B"/>
    <w:rsid w:val="00021F49"/>
    <w:rsid w:val="000228DA"/>
    <w:rsid w:val="00022B78"/>
    <w:rsid w:val="00024C0E"/>
    <w:rsid w:val="0002564D"/>
    <w:rsid w:val="00025ECA"/>
    <w:rsid w:val="00025FB6"/>
    <w:rsid w:val="00027F89"/>
    <w:rsid w:val="00030C2F"/>
    <w:rsid w:val="00030D1B"/>
    <w:rsid w:val="0003208B"/>
    <w:rsid w:val="000325B8"/>
    <w:rsid w:val="0003435C"/>
    <w:rsid w:val="00034C15"/>
    <w:rsid w:val="00035B60"/>
    <w:rsid w:val="000366D8"/>
    <w:rsid w:val="00036BA1"/>
    <w:rsid w:val="00037B07"/>
    <w:rsid w:val="000412B3"/>
    <w:rsid w:val="00041826"/>
    <w:rsid w:val="00041B48"/>
    <w:rsid w:val="000422E2"/>
    <w:rsid w:val="00042F22"/>
    <w:rsid w:val="000444EF"/>
    <w:rsid w:val="00045A70"/>
    <w:rsid w:val="00045C49"/>
    <w:rsid w:val="00046311"/>
    <w:rsid w:val="00052A07"/>
    <w:rsid w:val="000534E3"/>
    <w:rsid w:val="00053661"/>
    <w:rsid w:val="0005426E"/>
    <w:rsid w:val="0005513A"/>
    <w:rsid w:val="000556EF"/>
    <w:rsid w:val="0005606A"/>
    <w:rsid w:val="00056819"/>
    <w:rsid w:val="00057117"/>
    <w:rsid w:val="000575CE"/>
    <w:rsid w:val="000616E7"/>
    <w:rsid w:val="00063F03"/>
    <w:rsid w:val="0006487E"/>
    <w:rsid w:val="0006510E"/>
    <w:rsid w:val="00065E1A"/>
    <w:rsid w:val="00066C49"/>
    <w:rsid w:val="00067AF1"/>
    <w:rsid w:val="00073365"/>
    <w:rsid w:val="000750A6"/>
    <w:rsid w:val="00077E5F"/>
    <w:rsid w:val="0008036A"/>
    <w:rsid w:val="00080CBB"/>
    <w:rsid w:val="00080E22"/>
    <w:rsid w:val="00081AE6"/>
    <w:rsid w:val="00082415"/>
    <w:rsid w:val="00083085"/>
    <w:rsid w:val="00084B35"/>
    <w:rsid w:val="000855EB"/>
    <w:rsid w:val="00085B52"/>
    <w:rsid w:val="000866F2"/>
    <w:rsid w:val="00086842"/>
    <w:rsid w:val="00087F9D"/>
    <w:rsid w:val="0009009F"/>
    <w:rsid w:val="0009011C"/>
    <w:rsid w:val="00091240"/>
    <w:rsid w:val="00091557"/>
    <w:rsid w:val="00091CED"/>
    <w:rsid w:val="00092464"/>
    <w:rsid w:val="000924C1"/>
    <w:rsid w:val="000924F0"/>
    <w:rsid w:val="00093283"/>
    <w:rsid w:val="00093474"/>
    <w:rsid w:val="00094A96"/>
    <w:rsid w:val="0009510F"/>
    <w:rsid w:val="0009786A"/>
    <w:rsid w:val="000A1B7B"/>
    <w:rsid w:val="000A353A"/>
    <w:rsid w:val="000A56F2"/>
    <w:rsid w:val="000B2719"/>
    <w:rsid w:val="000B3A8F"/>
    <w:rsid w:val="000B407C"/>
    <w:rsid w:val="000B4AB9"/>
    <w:rsid w:val="000B572B"/>
    <w:rsid w:val="000B58C3"/>
    <w:rsid w:val="000B61E9"/>
    <w:rsid w:val="000B6CBF"/>
    <w:rsid w:val="000B75A1"/>
    <w:rsid w:val="000C0B04"/>
    <w:rsid w:val="000C165A"/>
    <w:rsid w:val="000C2E19"/>
    <w:rsid w:val="000C34CA"/>
    <w:rsid w:val="000C4974"/>
    <w:rsid w:val="000C4DEF"/>
    <w:rsid w:val="000C52C7"/>
    <w:rsid w:val="000C55C5"/>
    <w:rsid w:val="000C715D"/>
    <w:rsid w:val="000D0D07"/>
    <w:rsid w:val="000D17C4"/>
    <w:rsid w:val="000D19DE"/>
    <w:rsid w:val="000D38AE"/>
    <w:rsid w:val="000D4797"/>
    <w:rsid w:val="000D607B"/>
    <w:rsid w:val="000D7359"/>
    <w:rsid w:val="000E04FA"/>
    <w:rsid w:val="000E0527"/>
    <w:rsid w:val="000E0F2D"/>
    <w:rsid w:val="000E1E92"/>
    <w:rsid w:val="000E209C"/>
    <w:rsid w:val="000E3777"/>
    <w:rsid w:val="000E4ED6"/>
    <w:rsid w:val="000E4F7C"/>
    <w:rsid w:val="000E584B"/>
    <w:rsid w:val="000F06D6"/>
    <w:rsid w:val="000F0D78"/>
    <w:rsid w:val="000F0EB1"/>
    <w:rsid w:val="000F1106"/>
    <w:rsid w:val="000F1371"/>
    <w:rsid w:val="000F143B"/>
    <w:rsid w:val="000F31CA"/>
    <w:rsid w:val="000F329D"/>
    <w:rsid w:val="000F3BE9"/>
    <w:rsid w:val="000F3F6C"/>
    <w:rsid w:val="000F4328"/>
    <w:rsid w:val="000F6AA3"/>
    <w:rsid w:val="000F6DF3"/>
    <w:rsid w:val="000F79ED"/>
    <w:rsid w:val="000F7D2E"/>
    <w:rsid w:val="001005FF"/>
    <w:rsid w:val="00101DB7"/>
    <w:rsid w:val="0010252C"/>
    <w:rsid w:val="00103D75"/>
    <w:rsid w:val="001046D1"/>
    <w:rsid w:val="00105676"/>
    <w:rsid w:val="001060F8"/>
    <w:rsid w:val="001062FB"/>
    <w:rsid w:val="001063E6"/>
    <w:rsid w:val="00107FDF"/>
    <w:rsid w:val="00110070"/>
    <w:rsid w:val="0011092F"/>
    <w:rsid w:val="00113816"/>
    <w:rsid w:val="00113CF4"/>
    <w:rsid w:val="00113EC9"/>
    <w:rsid w:val="001153EA"/>
    <w:rsid w:val="00115643"/>
    <w:rsid w:val="00116765"/>
    <w:rsid w:val="00116820"/>
    <w:rsid w:val="0012100A"/>
    <w:rsid w:val="001219F5"/>
    <w:rsid w:val="00121A20"/>
    <w:rsid w:val="00121F34"/>
    <w:rsid w:val="001222D4"/>
    <w:rsid w:val="0012377F"/>
    <w:rsid w:val="00124314"/>
    <w:rsid w:val="00124CF8"/>
    <w:rsid w:val="00126B4A"/>
    <w:rsid w:val="001275E8"/>
    <w:rsid w:val="0013012D"/>
    <w:rsid w:val="00132FD0"/>
    <w:rsid w:val="00133DC0"/>
    <w:rsid w:val="001344C0"/>
    <w:rsid w:val="001346FA"/>
    <w:rsid w:val="001348B3"/>
    <w:rsid w:val="00134AE8"/>
    <w:rsid w:val="00135231"/>
    <w:rsid w:val="00135252"/>
    <w:rsid w:val="0013543B"/>
    <w:rsid w:val="00136575"/>
    <w:rsid w:val="00136EBB"/>
    <w:rsid w:val="00137AB5"/>
    <w:rsid w:val="00137D6B"/>
    <w:rsid w:val="00137F0B"/>
    <w:rsid w:val="00140C2B"/>
    <w:rsid w:val="0014145E"/>
    <w:rsid w:val="00141CC3"/>
    <w:rsid w:val="00143848"/>
    <w:rsid w:val="00143D25"/>
    <w:rsid w:val="00145959"/>
    <w:rsid w:val="001473CE"/>
    <w:rsid w:val="00150822"/>
    <w:rsid w:val="00151E23"/>
    <w:rsid w:val="001526E0"/>
    <w:rsid w:val="00154CE6"/>
    <w:rsid w:val="001551B5"/>
    <w:rsid w:val="00157279"/>
    <w:rsid w:val="0015769E"/>
    <w:rsid w:val="001617F4"/>
    <w:rsid w:val="00162951"/>
    <w:rsid w:val="00162FB5"/>
    <w:rsid w:val="00163762"/>
    <w:rsid w:val="00164071"/>
    <w:rsid w:val="00164241"/>
    <w:rsid w:val="001659C1"/>
    <w:rsid w:val="0016710F"/>
    <w:rsid w:val="00167F7F"/>
    <w:rsid w:val="00171766"/>
    <w:rsid w:val="00172465"/>
    <w:rsid w:val="00173A8E"/>
    <w:rsid w:val="00173C66"/>
    <w:rsid w:val="0017502C"/>
    <w:rsid w:val="00175F47"/>
    <w:rsid w:val="00176ABE"/>
    <w:rsid w:val="00176C07"/>
    <w:rsid w:val="00180B13"/>
    <w:rsid w:val="00180CA7"/>
    <w:rsid w:val="00181308"/>
    <w:rsid w:val="0018143F"/>
    <w:rsid w:val="00181FF8"/>
    <w:rsid w:val="00182C44"/>
    <w:rsid w:val="00186A77"/>
    <w:rsid w:val="0019074B"/>
    <w:rsid w:val="0019084D"/>
    <w:rsid w:val="00190AC1"/>
    <w:rsid w:val="00191523"/>
    <w:rsid w:val="001915C1"/>
    <w:rsid w:val="001932CF"/>
    <w:rsid w:val="0019341A"/>
    <w:rsid w:val="00193FE2"/>
    <w:rsid w:val="001947CB"/>
    <w:rsid w:val="00194915"/>
    <w:rsid w:val="00197DF9"/>
    <w:rsid w:val="001A1987"/>
    <w:rsid w:val="001A206B"/>
    <w:rsid w:val="001A2533"/>
    <w:rsid w:val="001A2564"/>
    <w:rsid w:val="001A3854"/>
    <w:rsid w:val="001A429F"/>
    <w:rsid w:val="001A50A5"/>
    <w:rsid w:val="001A5A28"/>
    <w:rsid w:val="001A6173"/>
    <w:rsid w:val="001A6CBA"/>
    <w:rsid w:val="001B0A41"/>
    <w:rsid w:val="001B0D97"/>
    <w:rsid w:val="001B35B1"/>
    <w:rsid w:val="001B3F31"/>
    <w:rsid w:val="001B4E1B"/>
    <w:rsid w:val="001B5832"/>
    <w:rsid w:val="001B5A5D"/>
    <w:rsid w:val="001C118A"/>
    <w:rsid w:val="001C14D5"/>
    <w:rsid w:val="001C1CE5"/>
    <w:rsid w:val="001C1D0E"/>
    <w:rsid w:val="001C2178"/>
    <w:rsid w:val="001C3D2A"/>
    <w:rsid w:val="001C5095"/>
    <w:rsid w:val="001C6928"/>
    <w:rsid w:val="001C7F9E"/>
    <w:rsid w:val="001D490D"/>
    <w:rsid w:val="001D4A00"/>
    <w:rsid w:val="001D51BA"/>
    <w:rsid w:val="001D53E7"/>
    <w:rsid w:val="001D5DAF"/>
    <w:rsid w:val="001D6204"/>
    <w:rsid w:val="001D6342"/>
    <w:rsid w:val="001D6D53"/>
    <w:rsid w:val="001E278D"/>
    <w:rsid w:val="001E58E2"/>
    <w:rsid w:val="001E601F"/>
    <w:rsid w:val="001E6813"/>
    <w:rsid w:val="001E6A65"/>
    <w:rsid w:val="001E7AED"/>
    <w:rsid w:val="001F2118"/>
    <w:rsid w:val="001F28E8"/>
    <w:rsid w:val="001F3916"/>
    <w:rsid w:val="001F54C5"/>
    <w:rsid w:val="001F590D"/>
    <w:rsid w:val="001F662C"/>
    <w:rsid w:val="001F7074"/>
    <w:rsid w:val="00200490"/>
    <w:rsid w:val="00201F3A"/>
    <w:rsid w:val="00203A6F"/>
    <w:rsid w:val="00203F96"/>
    <w:rsid w:val="002043BC"/>
    <w:rsid w:val="0020526A"/>
    <w:rsid w:val="002069B2"/>
    <w:rsid w:val="00206ED3"/>
    <w:rsid w:val="00207A6B"/>
    <w:rsid w:val="00207FA3"/>
    <w:rsid w:val="0021140B"/>
    <w:rsid w:val="00212C79"/>
    <w:rsid w:val="00213210"/>
    <w:rsid w:val="0021348A"/>
    <w:rsid w:val="00214DA8"/>
    <w:rsid w:val="00215423"/>
    <w:rsid w:val="002158FA"/>
    <w:rsid w:val="00220042"/>
    <w:rsid w:val="00220600"/>
    <w:rsid w:val="00220A5C"/>
    <w:rsid w:val="00221BEC"/>
    <w:rsid w:val="002224DB"/>
    <w:rsid w:val="002226B7"/>
    <w:rsid w:val="00222823"/>
    <w:rsid w:val="00223E15"/>
    <w:rsid w:val="00223FCB"/>
    <w:rsid w:val="002252C3"/>
    <w:rsid w:val="00225C54"/>
    <w:rsid w:val="00226D6A"/>
    <w:rsid w:val="00227C30"/>
    <w:rsid w:val="00230765"/>
    <w:rsid w:val="00230D18"/>
    <w:rsid w:val="002319E4"/>
    <w:rsid w:val="00235632"/>
    <w:rsid w:val="00235872"/>
    <w:rsid w:val="00237310"/>
    <w:rsid w:val="00241559"/>
    <w:rsid w:val="002435B3"/>
    <w:rsid w:val="002458EB"/>
    <w:rsid w:val="00245D00"/>
    <w:rsid w:val="0024618E"/>
    <w:rsid w:val="002465F5"/>
    <w:rsid w:val="0024756C"/>
    <w:rsid w:val="00247C5D"/>
    <w:rsid w:val="002500C8"/>
    <w:rsid w:val="00251557"/>
    <w:rsid w:val="0025220E"/>
    <w:rsid w:val="0025582C"/>
    <w:rsid w:val="00255C40"/>
    <w:rsid w:val="00255C9C"/>
    <w:rsid w:val="00256497"/>
    <w:rsid w:val="002567B1"/>
    <w:rsid w:val="00257543"/>
    <w:rsid w:val="00257FBA"/>
    <w:rsid w:val="002607D0"/>
    <w:rsid w:val="0026085E"/>
    <w:rsid w:val="00260B38"/>
    <w:rsid w:val="00260F97"/>
    <w:rsid w:val="002617E7"/>
    <w:rsid w:val="00263BB5"/>
    <w:rsid w:val="00264228"/>
    <w:rsid w:val="00264334"/>
    <w:rsid w:val="0026473E"/>
    <w:rsid w:val="00265732"/>
    <w:rsid w:val="00266214"/>
    <w:rsid w:val="00267C83"/>
    <w:rsid w:val="00267E6A"/>
    <w:rsid w:val="0027059E"/>
    <w:rsid w:val="0027144F"/>
    <w:rsid w:val="00271813"/>
    <w:rsid w:val="00271EFD"/>
    <w:rsid w:val="00271F3A"/>
    <w:rsid w:val="00273278"/>
    <w:rsid w:val="002734F2"/>
    <w:rsid w:val="002737F4"/>
    <w:rsid w:val="0027567D"/>
    <w:rsid w:val="002805F5"/>
    <w:rsid w:val="00280751"/>
    <w:rsid w:val="0028280A"/>
    <w:rsid w:val="00282875"/>
    <w:rsid w:val="00284FA5"/>
    <w:rsid w:val="00285D4E"/>
    <w:rsid w:val="00286ACD"/>
    <w:rsid w:val="00287838"/>
    <w:rsid w:val="002907B5"/>
    <w:rsid w:val="00291575"/>
    <w:rsid w:val="002926BB"/>
    <w:rsid w:val="00292EB7"/>
    <w:rsid w:val="00293181"/>
    <w:rsid w:val="00293706"/>
    <w:rsid w:val="00293AE8"/>
    <w:rsid w:val="00294008"/>
    <w:rsid w:val="002945E8"/>
    <w:rsid w:val="00296227"/>
    <w:rsid w:val="00296469"/>
    <w:rsid w:val="00296F44"/>
    <w:rsid w:val="002970CC"/>
    <w:rsid w:val="00297503"/>
    <w:rsid w:val="0029777D"/>
    <w:rsid w:val="002A055E"/>
    <w:rsid w:val="002A150C"/>
    <w:rsid w:val="002A1D4E"/>
    <w:rsid w:val="002A2869"/>
    <w:rsid w:val="002A3BE1"/>
    <w:rsid w:val="002A4D42"/>
    <w:rsid w:val="002B0085"/>
    <w:rsid w:val="002B13CB"/>
    <w:rsid w:val="002B24D6"/>
    <w:rsid w:val="002B67D6"/>
    <w:rsid w:val="002B690D"/>
    <w:rsid w:val="002B698A"/>
    <w:rsid w:val="002C1990"/>
    <w:rsid w:val="002C1A59"/>
    <w:rsid w:val="002C303E"/>
    <w:rsid w:val="002C41E6"/>
    <w:rsid w:val="002C664E"/>
    <w:rsid w:val="002C6B32"/>
    <w:rsid w:val="002C7D2A"/>
    <w:rsid w:val="002D071A"/>
    <w:rsid w:val="002D3034"/>
    <w:rsid w:val="002D34B2"/>
    <w:rsid w:val="002D3A38"/>
    <w:rsid w:val="002D48B0"/>
    <w:rsid w:val="002D4B9A"/>
    <w:rsid w:val="002D4EF5"/>
    <w:rsid w:val="002D4F32"/>
    <w:rsid w:val="002D55D6"/>
    <w:rsid w:val="002D56B6"/>
    <w:rsid w:val="002D5B37"/>
    <w:rsid w:val="002D6777"/>
    <w:rsid w:val="002D6DB8"/>
    <w:rsid w:val="002D7637"/>
    <w:rsid w:val="002E071E"/>
    <w:rsid w:val="002E08C2"/>
    <w:rsid w:val="002E17F2"/>
    <w:rsid w:val="002E1C6D"/>
    <w:rsid w:val="002E3557"/>
    <w:rsid w:val="002E5476"/>
    <w:rsid w:val="002E5668"/>
    <w:rsid w:val="002E6AF8"/>
    <w:rsid w:val="002E7125"/>
    <w:rsid w:val="002E7ADA"/>
    <w:rsid w:val="002E7CAE"/>
    <w:rsid w:val="002F10BF"/>
    <w:rsid w:val="002F13E4"/>
    <w:rsid w:val="002F1844"/>
    <w:rsid w:val="002F2038"/>
    <w:rsid w:val="002F2771"/>
    <w:rsid w:val="002F37A9"/>
    <w:rsid w:val="002F4238"/>
    <w:rsid w:val="002F468C"/>
    <w:rsid w:val="002F4E4C"/>
    <w:rsid w:val="00301CE6"/>
    <w:rsid w:val="0030256B"/>
    <w:rsid w:val="0030490D"/>
    <w:rsid w:val="0030501F"/>
    <w:rsid w:val="00305535"/>
    <w:rsid w:val="0030724E"/>
    <w:rsid w:val="00307BA1"/>
    <w:rsid w:val="00310546"/>
    <w:rsid w:val="00311702"/>
    <w:rsid w:val="00311E82"/>
    <w:rsid w:val="00313C8A"/>
    <w:rsid w:val="00313F0D"/>
    <w:rsid w:val="00313FD6"/>
    <w:rsid w:val="003143BD"/>
    <w:rsid w:val="00315363"/>
    <w:rsid w:val="00315B92"/>
    <w:rsid w:val="00317069"/>
    <w:rsid w:val="003203ED"/>
    <w:rsid w:val="00320438"/>
    <w:rsid w:val="00320529"/>
    <w:rsid w:val="00322C9F"/>
    <w:rsid w:val="003232DA"/>
    <w:rsid w:val="003248C1"/>
    <w:rsid w:val="00324D23"/>
    <w:rsid w:val="00324E84"/>
    <w:rsid w:val="00326932"/>
    <w:rsid w:val="003278EE"/>
    <w:rsid w:val="00330EDC"/>
    <w:rsid w:val="00331751"/>
    <w:rsid w:val="00332815"/>
    <w:rsid w:val="00334228"/>
    <w:rsid w:val="00334579"/>
    <w:rsid w:val="00335858"/>
    <w:rsid w:val="00336BDA"/>
    <w:rsid w:val="0033781A"/>
    <w:rsid w:val="003400C9"/>
    <w:rsid w:val="00340BEB"/>
    <w:rsid w:val="00342BD7"/>
    <w:rsid w:val="003439DA"/>
    <w:rsid w:val="00343B5E"/>
    <w:rsid w:val="00345B9D"/>
    <w:rsid w:val="003464B2"/>
    <w:rsid w:val="00346DB5"/>
    <w:rsid w:val="003477B1"/>
    <w:rsid w:val="0035047A"/>
    <w:rsid w:val="0035283F"/>
    <w:rsid w:val="00354971"/>
    <w:rsid w:val="00355217"/>
    <w:rsid w:val="00357380"/>
    <w:rsid w:val="003602D9"/>
    <w:rsid w:val="003604CE"/>
    <w:rsid w:val="0036436D"/>
    <w:rsid w:val="00364D4D"/>
    <w:rsid w:val="003668A1"/>
    <w:rsid w:val="003668B2"/>
    <w:rsid w:val="00370E47"/>
    <w:rsid w:val="00371809"/>
    <w:rsid w:val="00371986"/>
    <w:rsid w:val="00372F07"/>
    <w:rsid w:val="00373B01"/>
    <w:rsid w:val="003742AC"/>
    <w:rsid w:val="00376281"/>
    <w:rsid w:val="003768BA"/>
    <w:rsid w:val="003770AD"/>
    <w:rsid w:val="00377CE1"/>
    <w:rsid w:val="0038187D"/>
    <w:rsid w:val="003835F3"/>
    <w:rsid w:val="00385BF0"/>
    <w:rsid w:val="00387DE8"/>
    <w:rsid w:val="00392A7D"/>
    <w:rsid w:val="003935A0"/>
    <w:rsid w:val="003939FF"/>
    <w:rsid w:val="00396E47"/>
    <w:rsid w:val="00397C75"/>
    <w:rsid w:val="003A2223"/>
    <w:rsid w:val="003A2A0F"/>
    <w:rsid w:val="003A2E9B"/>
    <w:rsid w:val="003A45A1"/>
    <w:rsid w:val="003A5B0A"/>
    <w:rsid w:val="003A6BAC"/>
    <w:rsid w:val="003A70A4"/>
    <w:rsid w:val="003A7EF3"/>
    <w:rsid w:val="003B159C"/>
    <w:rsid w:val="003B369F"/>
    <w:rsid w:val="003B36A3"/>
    <w:rsid w:val="003B4430"/>
    <w:rsid w:val="003B5FDE"/>
    <w:rsid w:val="003B64BB"/>
    <w:rsid w:val="003B6870"/>
    <w:rsid w:val="003B6E84"/>
    <w:rsid w:val="003B781B"/>
    <w:rsid w:val="003B78B9"/>
    <w:rsid w:val="003B796B"/>
    <w:rsid w:val="003B7FE5"/>
    <w:rsid w:val="003C055E"/>
    <w:rsid w:val="003C078B"/>
    <w:rsid w:val="003C11C8"/>
    <w:rsid w:val="003C2702"/>
    <w:rsid w:val="003C4272"/>
    <w:rsid w:val="003C4E59"/>
    <w:rsid w:val="003C7779"/>
    <w:rsid w:val="003C7806"/>
    <w:rsid w:val="003D109F"/>
    <w:rsid w:val="003D20FD"/>
    <w:rsid w:val="003D23DE"/>
    <w:rsid w:val="003D2478"/>
    <w:rsid w:val="003D3C45"/>
    <w:rsid w:val="003D5B1F"/>
    <w:rsid w:val="003D6BC1"/>
    <w:rsid w:val="003E028A"/>
    <w:rsid w:val="003E10F0"/>
    <w:rsid w:val="003E11D1"/>
    <w:rsid w:val="003E15FA"/>
    <w:rsid w:val="003E165B"/>
    <w:rsid w:val="003E55E4"/>
    <w:rsid w:val="003E62C2"/>
    <w:rsid w:val="003E74B0"/>
    <w:rsid w:val="003E74E3"/>
    <w:rsid w:val="003F05C7"/>
    <w:rsid w:val="003F19BA"/>
    <w:rsid w:val="003F2CD4"/>
    <w:rsid w:val="003F3FCF"/>
    <w:rsid w:val="003F5409"/>
    <w:rsid w:val="003F6BBE"/>
    <w:rsid w:val="004000E8"/>
    <w:rsid w:val="004017E6"/>
    <w:rsid w:val="00402E2B"/>
    <w:rsid w:val="0040512B"/>
    <w:rsid w:val="00405CA5"/>
    <w:rsid w:val="00407CD3"/>
    <w:rsid w:val="00410134"/>
    <w:rsid w:val="00410B72"/>
    <w:rsid w:val="00410CE3"/>
    <w:rsid w:val="00410F18"/>
    <w:rsid w:val="004112E5"/>
    <w:rsid w:val="0041263E"/>
    <w:rsid w:val="00413AAC"/>
    <w:rsid w:val="00413E92"/>
    <w:rsid w:val="00414A7B"/>
    <w:rsid w:val="004152EC"/>
    <w:rsid w:val="00415EA2"/>
    <w:rsid w:val="0042101E"/>
    <w:rsid w:val="00421105"/>
    <w:rsid w:val="00421C59"/>
    <w:rsid w:val="00422AA4"/>
    <w:rsid w:val="004236E1"/>
    <w:rsid w:val="004242F4"/>
    <w:rsid w:val="004251B9"/>
    <w:rsid w:val="00425ACF"/>
    <w:rsid w:val="00425F12"/>
    <w:rsid w:val="00427248"/>
    <w:rsid w:val="00430FD9"/>
    <w:rsid w:val="00431C80"/>
    <w:rsid w:val="004347B5"/>
    <w:rsid w:val="0043651E"/>
    <w:rsid w:val="0043661E"/>
    <w:rsid w:val="00437447"/>
    <w:rsid w:val="00440191"/>
    <w:rsid w:val="00440961"/>
    <w:rsid w:val="00441A92"/>
    <w:rsid w:val="004431DC"/>
    <w:rsid w:val="00443261"/>
    <w:rsid w:val="004438A6"/>
    <w:rsid w:val="00443BC7"/>
    <w:rsid w:val="00444F56"/>
    <w:rsid w:val="00446488"/>
    <w:rsid w:val="0044688F"/>
    <w:rsid w:val="00447412"/>
    <w:rsid w:val="00447829"/>
    <w:rsid w:val="00450C2D"/>
    <w:rsid w:val="004517AA"/>
    <w:rsid w:val="00451806"/>
    <w:rsid w:val="004524C2"/>
    <w:rsid w:val="00452CAC"/>
    <w:rsid w:val="00455862"/>
    <w:rsid w:val="0045625B"/>
    <w:rsid w:val="00457565"/>
    <w:rsid w:val="00457B71"/>
    <w:rsid w:val="00457FC8"/>
    <w:rsid w:val="00464689"/>
    <w:rsid w:val="00464755"/>
    <w:rsid w:val="004669E2"/>
    <w:rsid w:val="00466C0E"/>
    <w:rsid w:val="00467441"/>
    <w:rsid w:val="00470C31"/>
    <w:rsid w:val="00471DE0"/>
    <w:rsid w:val="00472C19"/>
    <w:rsid w:val="004734D0"/>
    <w:rsid w:val="004742A2"/>
    <w:rsid w:val="00474363"/>
    <w:rsid w:val="00474A1B"/>
    <w:rsid w:val="00475237"/>
    <w:rsid w:val="0047556B"/>
    <w:rsid w:val="0047650B"/>
    <w:rsid w:val="00476D53"/>
    <w:rsid w:val="00477768"/>
    <w:rsid w:val="00480C09"/>
    <w:rsid w:val="00482D0C"/>
    <w:rsid w:val="004838BA"/>
    <w:rsid w:val="00485B68"/>
    <w:rsid w:val="00486E94"/>
    <w:rsid w:val="00486FBF"/>
    <w:rsid w:val="004871C7"/>
    <w:rsid w:val="00491988"/>
    <w:rsid w:val="00492BC5"/>
    <w:rsid w:val="0049305D"/>
    <w:rsid w:val="00493D02"/>
    <w:rsid w:val="00495074"/>
    <w:rsid w:val="004964F1"/>
    <w:rsid w:val="004A16BC"/>
    <w:rsid w:val="004A2502"/>
    <w:rsid w:val="004A2B94"/>
    <w:rsid w:val="004A2E53"/>
    <w:rsid w:val="004A63FC"/>
    <w:rsid w:val="004A6D83"/>
    <w:rsid w:val="004A7B2F"/>
    <w:rsid w:val="004B0BBD"/>
    <w:rsid w:val="004B233E"/>
    <w:rsid w:val="004B25A1"/>
    <w:rsid w:val="004B312B"/>
    <w:rsid w:val="004B3D22"/>
    <w:rsid w:val="004B4970"/>
    <w:rsid w:val="004B4B28"/>
    <w:rsid w:val="004B6F6A"/>
    <w:rsid w:val="004B7C0C"/>
    <w:rsid w:val="004C06A4"/>
    <w:rsid w:val="004C209F"/>
    <w:rsid w:val="004C2654"/>
    <w:rsid w:val="004C3898"/>
    <w:rsid w:val="004C4172"/>
    <w:rsid w:val="004C5907"/>
    <w:rsid w:val="004C6358"/>
    <w:rsid w:val="004D0E48"/>
    <w:rsid w:val="004D30E6"/>
    <w:rsid w:val="004D36B1"/>
    <w:rsid w:val="004D38DA"/>
    <w:rsid w:val="004D543C"/>
    <w:rsid w:val="004D6C92"/>
    <w:rsid w:val="004D7752"/>
    <w:rsid w:val="004D7EBD"/>
    <w:rsid w:val="004E04A6"/>
    <w:rsid w:val="004E2680"/>
    <w:rsid w:val="004E28F9"/>
    <w:rsid w:val="004E3493"/>
    <w:rsid w:val="004E462E"/>
    <w:rsid w:val="004E483C"/>
    <w:rsid w:val="004E56DC"/>
    <w:rsid w:val="004E76F4"/>
    <w:rsid w:val="004F0B4E"/>
    <w:rsid w:val="004F0B6C"/>
    <w:rsid w:val="004F0E11"/>
    <w:rsid w:val="004F113B"/>
    <w:rsid w:val="004F2078"/>
    <w:rsid w:val="004F388A"/>
    <w:rsid w:val="004F4083"/>
    <w:rsid w:val="004F4DA3"/>
    <w:rsid w:val="004F6468"/>
    <w:rsid w:val="005013B4"/>
    <w:rsid w:val="00501758"/>
    <w:rsid w:val="005022F4"/>
    <w:rsid w:val="0050413C"/>
    <w:rsid w:val="0050496A"/>
    <w:rsid w:val="00506145"/>
    <w:rsid w:val="00506557"/>
    <w:rsid w:val="0050677A"/>
    <w:rsid w:val="00507940"/>
    <w:rsid w:val="00507B80"/>
    <w:rsid w:val="005108D8"/>
    <w:rsid w:val="005116F9"/>
    <w:rsid w:val="00511B59"/>
    <w:rsid w:val="0051204A"/>
    <w:rsid w:val="005135F7"/>
    <w:rsid w:val="00513867"/>
    <w:rsid w:val="0051461B"/>
    <w:rsid w:val="00514BEF"/>
    <w:rsid w:val="005153A7"/>
    <w:rsid w:val="005215DF"/>
    <w:rsid w:val="005219CF"/>
    <w:rsid w:val="0052500B"/>
    <w:rsid w:val="00525C0D"/>
    <w:rsid w:val="00526A7C"/>
    <w:rsid w:val="00534B59"/>
    <w:rsid w:val="00536759"/>
    <w:rsid w:val="00536953"/>
    <w:rsid w:val="0053730E"/>
    <w:rsid w:val="00537C62"/>
    <w:rsid w:val="00544700"/>
    <w:rsid w:val="00546970"/>
    <w:rsid w:val="005470D9"/>
    <w:rsid w:val="0054743D"/>
    <w:rsid w:val="005536EC"/>
    <w:rsid w:val="00554E19"/>
    <w:rsid w:val="00555136"/>
    <w:rsid w:val="005552D2"/>
    <w:rsid w:val="00557415"/>
    <w:rsid w:val="005575DD"/>
    <w:rsid w:val="0056121F"/>
    <w:rsid w:val="00565547"/>
    <w:rsid w:val="00566EEC"/>
    <w:rsid w:val="00572505"/>
    <w:rsid w:val="005735BD"/>
    <w:rsid w:val="005747EF"/>
    <w:rsid w:val="0058181E"/>
    <w:rsid w:val="00582809"/>
    <w:rsid w:val="00586E2A"/>
    <w:rsid w:val="0058798C"/>
    <w:rsid w:val="005900FA"/>
    <w:rsid w:val="00592998"/>
    <w:rsid w:val="005935A4"/>
    <w:rsid w:val="005948C2"/>
    <w:rsid w:val="0059492D"/>
    <w:rsid w:val="00595DCA"/>
    <w:rsid w:val="0059779B"/>
    <w:rsid w:val="005A1F19"/>
    <w:rsid w:val="005A209A"/>
    <w:rsid w:val="005A4662"/>
    <w:rsid w:val="005A63F6"/>
    <w:rsid w:val="005A662D"/>
    <w:rsid w:val="005A769C"/>
    <w:rsid w:val="005B1409"/>
    <w:rsid w:val="005B181A"/>
    <w:rsid w:val="005B35D7"/>
    <w:rsid w:val="005B392A"/>
    <w:rsid w:val="005B3AA3"/>
    <w:rsid w:val="005B3FA2"/>
    <w:rsid w:val="005B6F83"/>
    <w:rsid w:val="005B77A6"/>
    <w:rsid w:val="005C055E"/>
    <w:rsid w:val="005C4170"/>
    <w:rsid w:val="005C594A"/>
    <w:rsid w:val="005C6D2B"/>
    <w:rsid w:val="005C74FB"/>
    <w:rsid w:val="005D0CC0"/>
    <w:rsid w:val="005D11FE"/>
    <w:rsid w:val="005D1602"/>
    <w:rsid w:val="005D2F20"/>
    <w:rsid w:val="005D6085"/>
    <w:rsid w:val="005D6C5B"/>
    <w:rsid w:val="005D7631"/>
    <w:rsid w:val="005E1CF5"/>
    <w:rsid w:val="005E2046"/>
    <w:rsid w:val="005E385F"/>
    <w:rsid w:val="005E3F7F"/>
    <w:rsid w:val="005E47A6"/>
    <w:rsid w:val="005E5B81"/>
    <w:rsid w:val="005F0299"/>
    <w:rsid w:val="005F038B"/>
    <w:rsid w:val="005F16C2"/>
    <w:rsid w:val="005F1A47"/>
    <w:rsid w:val="005F20D1"/>
    <w:rsid w:val="005F2CB1"/>
    <w:rsid w:val="005F3025"/>
    <w:rsid w:val="005F34BE"/>
    <w:rsid w:val="005F618C"/>
    <w:rsid w:val="005F70BD"/>
    <w:rsid w:val="006009B7"/>
    <w:rsid w:val="00600E15"/>
    <w:rsid w:val="006017BE"/>
    <w:rsid w:val="0060283C"/>
    <w:rsid w:val="00604F14"/>
    <w:rsid w:val="00605145"/>
    <w:rsid w:val="0060598C"/>
    <w:rsid w:val="006108A5"/>
    <w:rsid w:val="00611B83"/>
    <w:rsid w:val="00613257"/>
    <w:rsid w:val="00613E80"/>
    <w:rsid w:val="0061400D"/>
    <w:rsid w:val="0061402E"/>
    <w:rsid w:val="00620A71"/>
    <w:rsid w:val="00620C33"/>
    <w:rsid w:val="00620D80"/>
    <w:rsid w:val="0062230E"/>
    <w:rsid w:val="006233E0"/>
    <w:rsid w:val="006234A6"/>
    <w:rsid w:val="00623763"/>
    <w:rsid w:val="006275ED"/>
    <w:rsid w:val="00627679"/>
    <w:rsid w:val="00630001"/>
    <w:rsid w:val="00630668"/>
    <w:rsid w:val="006311B3"/>
    <w:rsid w:val="0063127B"/>
    <w:rsid w:val="00631D64"/>
    <w:rsid w:val="0063284C"/>
    <w:rsid w:val="00634B7C"/>
    <w:rsid w:val="00636398"/>
    <w:rsid w:val="006363DD"/>
    <w:rsid w:val="006368D3"/>
    <w:rsid w:val="006377EC"/>
    <w:rsid w:val="0064151F"/>
    <w:rsid w:val="00641533"/>
    <w:rsid w:val="0064208D"/>
    <w:rsid w:val="00642ADF"/>
    <w:rsid w:val="00643475"/>
    <w:rsid w:val="00643803"/>
    <w:rsid w:val="0064396A"/>
    <w:rsid w:val="00644BF1"/>
    <w:rsid w:val="0064624E"/>
    <w:rsid w:val="00646E4F"/>
    <w:rsid w:val="00647EB3"/>
    <w:rsid w:val="00650AB9"/>
    <w:rsid w:val="00653F47"/>
    <w:rsid w:val="006555E4"/>
    <w:rsid w:val="00655733"/>
    <w:rsid w:val="00655ACD"/>
    <w:rsid w:val="00656A92"/>
    <w:rsid w:val="00656DDE"/>
    <w:rsid w:val="006572AF"/>
    <w:rsid w:val="0066011D"/>
    <w:rsid w:val="006607C0"/>
    <w:rsid w:val="006613A6"/>
    <w:rsid w:val="006616A8"/>
    <w:rsid w:val="006619DC"/>
    <w:rsid w:val="006624B7"/>
    <w:rsid w:val="006627A2"/>
    <w:rsid w:val="00663162"/>
    <w:rsid w:val="006634E6"/>
    <w:rsid w:val="00664930"/>
    <w:rsid w:val="006655EE"/>
    <w:rsid w:val="00667EE7"/>
    <w:rsid w:val="00670922"/>
    <w:rsid w:val="00670BE1"/>
    <w:rsid w:val="0067218F"/>
    <w:rsid w:val="00672DFC"/>
    <w:rsid w:val="006739AB"/>
    <w:rsid w:val="00673E5C"/>
    <w:rsid w:val="006741F2"/>
    <w:rsid w:val="00674CC3"/>
    <w:rsid w:val="00675C72"/>
    <w:rsid w:val="006771F9"/>
    <w:rsid w:val="006776D7"/>
    <w:rsid w:val="00681003"/>
    <w:rsid w:val="006817C9"/>
    <w:rsid w:val="0068218A"/>
    <w:rsid w:val="00683ECE"/>
    <w:rsid w:val="00685505"/>
    <w:rsid w:val="00686430"/>
    <w:rsid w:val="006931BD"/>
    <w:rsid w:val="00695FC2"/>
    <w:rsid w:val="00696949"/>
    <w:rsid w:val="00697052"/>
    <w:rsid w:val="006A2849"/>
    <w:rsid w:val="006A2A90"/>
    <w:rsid w:val="006A33AD"/>
    <w:rsid w:val="006A46FB"/>
    <w:rsid w:val="006A59E5"/>
    <w:rsid w:val="006A5E28"/>
    <w:rsid w:val="006A65B7"/>
    <w:rsid w:val="006A697B"/>
    <w:rsid w:val="006A7AFF"/>
    <w:rsid w:val="006B1816"/>
    <w:rsid w:val="006B2099"/>
    <w:rsid w:val="006B34B8"/>
    <w:rsid w:val="006B4134"/>
    <w:rsid w:val="006B50CF"/>
    <w:rsid w:val="006B59A2"/>
    <w:rsid w:val="006B5F2D"/>
    <w:rsid w:val="006B6721"/>
    <w:rsid w:val="006C03B8"/>
    <w:rsid w:val="006C1B56"/>
    <w:rsid w:val="006C1E95"/>
    <w:rsid w:val="006C42B1"/>
    <w:rsid w:val="006C4373"/>
    <w:rsid w:val="006C54DC"/>
    <w:rsid w:val="006C582A"/>
    <w:rsid w:val="006C5EC9"/>
    <w:rsid w:val="006C6059"/>
    <w:rsid w:val="006C7522"/>
    <w:rsid w:val="006D0663"/>
    <w:rsid w:val="006D4A66"/>
    <w:rsid w:val="006D61EC"/>
    <w:rsid w:val="006D6F08"/>
    <w:rsid w:val="006D76AF"/>
    <w:rsid w:val="006E062B"/>
    <w:rsid w:val="006E062C"/>
    <w:rsid w:val="006E0A92"/>
    <w:rsid w:val="006E0AA6"/>
    <w:rsid w:val="006E1C82"/>
    <w:rsid w:val="006E2221"/>
    <w:rsid w:val="006E28B7"/>
    <w:rsid w:val="006E2A82"/>
    <w:rsid w:val="006E2A9B"/>
    <w:rsid w:val="006E3310"/>
    <w:rsid w:val="006E4E39"/>
    <w:rsid w:val="006E565E"/>
    <w:rsid w:val="006E673D"/>
    <w:rsid w:val="006E7D3B"/>
    <w:rsid w:val="006F075E"/>
    <w:rsid w:val="006F1299"/>
    <w:rsid w:val="006F1B70"/>
    <w:rsid w:val="006F2D81"/>
    <w:rsid w:val="006F341D"/>
    <w:rsid w:val="006F3BC7"/>
    <w:rsid w:val="006F3CDE"/>
    <w:rsid w:val="006F4A0E"/>
    <w:rsid w:val="006F58D4"/>
    <w:rsid w:val="006F6582"/>
    <w:rsid w:val="00700B96"/>
    <w:rsid w:val="0070191F"/>
    <w:rsid w:val="00701EBE"/>
    <w:rsid w:val="0070346E"/>
    <w:rsid w:val="00704EDB"/>
    <w:rsid w:val="00706101"/>
    <w:rsid w:val="00707072"/>
    <w:rsid w:val="007073E3"/>
    <w:rsid w:val="00707D61"/>
    <w:rsid w:val="00710FFE"/>
    <w:rsid w:val="00712287"/>
    <w:rsid w:val="00712772"/>
    <w:rsid w:val="00712E34"/>
    <w:rsid w:val="007148D3"/>
    <w:rsid w:val="007155AA"/>
    <w:rsid w:val="00715B9A"/>
    <w:rsid w:val="00715D8D"/>
    <w:rsid w:val="00716176"/>
    <w:rsid w:val="0071771A"/>
    <w:rsid w:val="0071790E"/>
    <w:rsid w:val="007202A5"/>
    <w:rsid w:val="00721963"/>
    <w:rsid w:val="00721B32"/>
    <w:rsid w:val="0072284D"/>
    <w:rsid w:val="00724E37"/>
    <w:rsid w:val="007257D0"/>
    <w:rsid w:val="00725BB7"/>
    <w:rsid w:val="00726EA6"/>
    <w:rsid w:val="00727208"/>
    <w:rsid w:val="007275D1"/>
    <w:rsid w:val="00727680"/>
    <w:rsid w:val="00730223"/>
    <w:rsid w:val="00731306"/>
    <w:rsid w:val="007348B1"/>
    <w:rsid w:val="007362A6"/>
    <w:rsid w:val="00736D7D"/>
    <w:rsid w:val="00740E58"/>
    <w:rsid w:val="00741442"/>
    <w:rsid w:val="007445A0"/>
    <w:rsid w:val="00744903"/>
    <w:rsid w:val="00744A7D"/>
    <w:rsid w:val="007450C9"/>
    <w:rsid w:val="0074524B"/>
    <w:rsid w:val="007455CE"/>
    <w:rsid w:val="00745BAA"/>
    <w:rsid w:val="00746285"/>
    <w:rsid w:val="00747D8B"/>
    <w:rsid w:val="00750DC8"/>
    <w:rsid w:val="00751228"/>
    <w:rsid w:val="00751A72"/>
    <w:rsid w:val="0075565D"/>
    <w:rsid w:val="0075641D"/>
    <w:rsid w:val="007571E1"/>
    <w:rsid w:val="007604B2"/>
    <w:rsid w:val="0076064B"/>
    <w:rsid w:val="007618FE"/>
    <w:rsid w:val="00761DAE"/>
    <w:rsid w:val="0076298B"/>
    <w:rsid w:val="00762CAF"/>
    <w:rsid w:val="0076423F"/>
    <w:rsid w:val="007649F4"/>
    <w:rsid w:val="00765281"/>
    <w:rsid w:val="00766BAD"/>
    <w:rsid w:val="007729A2"/>
    <w:rsid w:val="007739A6"/>
    <w:rsid w:val="007755F2"/>
    <w:rsid w:val="00775F7C"/>
    <w:rsid w:val="007766D7"/>
    <w:rsid w:val="00776971"/>
    <w:rsid w:val="00776C0E"/>
    <w:rsid w:val="00777D7B"/>
    <w:rsid w:val="00780A80"/>
    <w:rsid w:val="0078177E"/>
    <w:rsid w:val="007819E3"/>
    <w:rsid w:val="007827A3"/>
    <w:rsid w:val="0078304C"/>
    <w:rsid w:val="00783673"/>
    <w:rsid w:val="00784ADF"/>
    <w:rsid w:val="0078511E"/>
    <w:rsid w:val="00785490"/>
    <w:rsid w:val="00786D65"/>
    <w:rsid w:val="0079197E"/>
    <w:rsid w:val="007925EA"/>
    <w:rsid w:val="00793CD8"/>
    <w:rsid w:val="00795909"/>
    <w:rsid w:val="00795AF7"/>
    <w:rsid w:val="00795C92"/>
    <w:rsid w:val="00796231"/>
    <w:rsid w:val="00796A4F"/>
    <w:rsid w:val="00797F46"/>
    <w:rsid w:val="007A08F2"/>
    <w:rsid w:val="007A0B0A"/>
    <w:rsid w:val="007A11AF"/>
    <w:rsid w:val="007A1CB3"/>
    <w:rsid w:val="007A1D4B"/>
    <w:rsid w:val="007A306F"/>
    <w:rsid w:val="007A43A6"/>
    <w:rsid w:val="007A44B6"/>
    <w:rsid w:val="007A4FC4"/>
    <w:rsid w:val="007A58A6"/>
    <w:rsid w:val="007B0663"/>
    <w:rsid w:val="007B18B7"/>
    <w:rsid w:val="007B3D2D"/>
    <w:rsid w:val="007B3FD8"/>
    <w:rsid w:val="007B50AE"/>
    <w:rsid w:val="007B51DF"/>
    <w:rsid w:val="007B7E4C"/>
    <w:rsid w:val="007C00B0"/>
    <w:rsid w:val="007C05DD"/>
    <w:rsid w:val="007C1075"/>
    <w:rsid w:val="007C371E"/>
    <w:rsid w:val="007C3D18"/>
    <w:rsid w:val="007C4864"/>
    <w:rsid w:val="007C5A2A"/>
    <w:rsid w:val="007C5F4C"/>
    <w:rsid w:val="007C60BF"/>
    <w:rsid w:val="007C6A07"/>
    <w:rsid w:val="007C75A1"/>
    <w:rsid w:val="007C77A5"/>
    <w:rsid w:val="007D0271"/>
    <w:rsid w:val="007D04E5"/>
    <w:rsid w:val="007D3C6C"/>
    <w:rsid w:val="007D5353"/>
    <w:rsid w:val="007D5901"/>
    <w:rsid w:val="007D7526"/>
    <w:rsid w:val="007E0751"/>
    <w:rsid w:val="007E1750"/>
    <w:rsid w:val="007E40D4"/>
    <w:rsid w:val="007E4140"/>
    <w:rsid w:val="007E4610"/>
    <w:rsid w:val="007E4715"/>
    <w:rsid w:val="007E505B"/>
    <w:rsid w:val="007E58E7"/>
    <w:rsid w:val="007E5DAE"/>
    <w:rsid w:val="007E7091"/>
    <w:rsid w:val="007E7FB4"/>
    <w:rsid w:val="007F2AFA"/>
    <w:rsid w:val="007F304A"/>
    <w:rsid w:val="007F4876"/>
    <w:rsid w:val="007F5A75"/>
    <w:rsid w:val="007F6EAA"/>
    <w:rsid w:val="007F7E01"/>
    <w:rsid w:val="008020E2"/>
    <w:rsid w:val="00803028"/>
    <w:rsid w:val="00803FAE"/>
    <w:rsid w:val="008047F8"/>
    <w:rsid w:val="00804BC2"/>
    <w:rsid w:val="00804D93"/>
    <w:rsid w:val="00804F0D"/>
    <w:rsid w:val="0080605F"/>
    <w:rsid w:val="00807786"/>
    <w:rsid w:val="00810B35"/>
    <w:rsid w:val="00811FCB"/>
    <w:rsid w:val="00812DE5"/>
    <w:rsid w:val="00814207"/>
    <w:rsid w:val="00815211"/>
    <w:rsid w:val="008158D6"/>
    <w:rsid w:val="00817196"/>
    <w:rsid w:val="00817300"/>
    <w:rsid w:val="008177E8"/>
    <w:rsid w:val="00821590"/>
    <w:rsid w:val="00822306"/>
    <w:rsid w:val="008235DB"/>
    <w:rsid w:val="00824AB4"/>
    <w:rsid w:val="00825C42"/>
    <w:rsid w:val="00825D25"/>
    <w:rsid w:val="00827556"/>
    <w:rsid w:val="00827D6F"/>
    <w:rsid w:val="00830242"/>
    <w:rsid w:val="00830310"/>
    <w:rsid w:val="0083076E"/>
    <w:rsid w:val="00831590"/>
    <w:rsid w:val="008342AD"/>
    <w:rsid w:val="0083546B"/>
    <w:rsid w:val="00835B24"/>
    <w:rsid w:val="008376AC"/>
    <w:rsid w:val="008429FD"/>
    <w:rsid w:val="00843912"/>
    <w:rsid w:val="008444E8"/>
    <w:rsid w:val="00844E80"/>
    <w:rsid w:val="00846FE7"/>
    <w:rsid w:val="008511A2"/>
    <w:rsid w:val="00851ACB"/>
    <w:rsid w:val="008536DF"/>
    <w:rsid w:val="0085509A"/>
    <w:rsid w:val="00856911"/>
    <w:rsid w:val="00856F75"/>
    <w:rsid w:val="00857CD2"/>
    <w:rsid w:val="0086351C"/>
    <w:rsid w:val="00864BA8"/>
    <w:rsid w:val="00866ABC"/>
    <w:rsid w:val="008677FD"/>
    <w:rsid w:val="00867C13"/>
    <w:rsid w:val="00867E03"/>
    <w:rsid w:val="008706D4"/>
    <w:rsid w:val="00870F8A"/>
    <w:rsid w:val="0087155E"/>
    <w:rsid w:val="008719A4"/>
    <w:rsid w:val="00871D23"/>
    <w:rsid w:val="00872B78"/>
    <w:rsid w:val="00874312"/>
    <w:rsid w:val="0087437C"/>
    <w:rsid w:val="00875CD7"/>
    <w:rsid w:val="00876B4D"/>
    <w:rsid w:val="00877750"/>
    <w:rsid w:val="00877F18"/>
    <w:rsid w:val="008800D7"/>
    <w:rsid w:val="00881238"/>
    <w:rsid w:val="00881A64"/>
    <w:rsid w:val="00882402"/>
    <w:rsid w:val="0088510F"/>
    <w:rsid w:val="0088538B"/>
    <w:rsid w:val="00886749"/>
    <w:rsid w:val="0088721C"/>
    <w:rsid w:val="008906D7"/>
    <w:rsid w:val="00890820"/>
    <w:rsid w:val="00890BBD"/>
    <w:rsid w:val="00890EF2"/>
    <w:rsid w:val="008936B9"/>
    <w:rsid w:val="008941E3"/>
    <w:rsid w:val="00894A1D"/>
    <w:rsid w:val="00894A88"/>
    <w:rsid w:val="0089509F"/>
    <w:rsid w:val="00895386"/>
    <w:rsid w:val="00896B15"/>
    <w:rsid w:val="00897016"/>
    <w:rsid w:val="00897E72"/>
    <w:rsid w:val="008A0B6C"/>
    <w:rsid w:val="008A0FF6"/>
    <w:rsid w:val="008A21FF"/>
    <w:rsid w:val="008A2CE2"/>
    <w:rsid w:val="008A30AC"/>
    <w:rsid w:val="008A4466"/>
    <w:rsid w:val="008A44B8"/>
    <w:rsid w:val="008A51A8"/>
    <w:rsid w:val="008A54C7"/>
    <w:rsid w:val="008A59EC"/>
    <w:rsid w:val="008A61AC"/>
    <w:rsid w:val="008A6408"/>
    <w:rsid w:val="008A77D8"/>
    <w:rsid w:val="008B0483"/>
    <w:rsid w:val="008B120C"/>
    <w:rsid w:val="008B22A3"/>
    <w:rsid w:val="008B2840"/>
    <w:rsid w:val="008B3E61"/>
    <w:rsid w:val="008B518C"/>
    <w:rsid w:val="008B51A0"/>
    <w:rsid w:val="008B592A"/>
    <w:rsid w:val="008B5FB4"/>
    <w:rsid w:val="008B5FE0"/>
    <w:rsid w:val="008B7B5C"/>
    <w:rsid w:val="008C0C99"/>
    <w:rsid w:val="008C2017"/>
    <w:rsid w:val="008C4958"/>
    <w:rsid w:val="008C4BAA"/>
    <w:rsid w:val="008C5111"/>
    <w:rsid w:val="008C5C43"/>
    <w:rsid w:val="008C6AE8"/>
    <w:rsid w:val="008C7573"/>
    <w:rsid w:val="008D00A5"/>
    <w:rsid w:val="008D0379"/>
    <w:rsid w:val="008D319D"/>
    <w:rsid w:val="008D34F1"/>
    <w:rsid w:val="008D39D8"/>
    <w:rsid w:val="008D4F47"/>
    <w:rsid w:val="008D626B"/>
    <w:rsid w:val="008D6D1A"/>
    <w:rsid w:val="008D6EAC"/>
    <w:rsid w:val="008D7446"/>
    <w:rsid w:val="008D7D37"/>
    <w:rsid w:val="008E065E"/>
    <w:rsid w:val="008E0927"/>
    <w:rsid w:val="008E0BB4"/>
    <w:rsid w:val="008E10BF"/>
    <w:rsid w:val="008E16B4"/>
    <w:rsid w:val="008E1909"/>
    <w:rsid w:val="008E3F25"/>
    <w:rsid w:val="008E5FF9"/>
    <w:rsid w:val="008F1036"/>
    <w:rsid w:val="008F13C5"/>
    <w:rsid w:val="008F17BE"/>
    <w:rsid w:val="008F1C4E"/>
    <w:rsid w:val="008F1CB9"/>
    <w:rsid w:val="008F1EAB"/>
    <w:rsid w:val="008F33DC"/>
    <w:rsid w:val="008F366B"/>
    <w:rsid w:val="008F3B5A"/>
    <w:rsid w:val="008F423F"/>
    <w:rsid w:val="008F477F"/>
    <w:rsid w:val="008F50A1"/>
    <w:rsid w:val="008F59B7"/>
    <w:rsid w:val="008F74AC"/>
    <w:rsid w:val="008F7F8B"/>
    <w:rsid w:val="0090024C"/>
    <w:rsid w:val="00900DC0"/>
    <w:rsid w:val="00901834"/>
    <w:rsid w:val="00902303"/>
    <w:rsid w:val="00902350"/>
    <w:rsid w:val="009031B8"/>
    <w:rsid w:val="0090336B"/>
    <w:rsid w:val="00905037"/>
    <w:rsid w:val="0090523C"/>
    <w:rsid w:val="009053AA"/>
    <w:rsid w:val="009055C6"/>
    <w:rsid w:val="00905BCB"/>
    <w:rsid w:val="009064C9"/>
    <w:rsid w:val="00906939"/>
    <w:rsid w:val="00910B7D"/>
    <w:rsid w:val="0091111E"/>
    <w:rsid w:val="00911DFB"/>
    <w:rsid w:val="009139D9"/>
    <w:rsid w:val="00914118"/>
    <w:rsid w:val="00914AD8"/>
    <w:rsid w:val="00916079"/>
    <w:rsid w:val="00917CE9"/>
    <w:rsid w:val="0092075B"/>
    <w:rsid w:val="00920BF2"/>
    <w:rsid w:val="00922008"/>
    <w:rsid w:val="00922010"/>
    <w:rsid w:val="00923B6B"/>
    <w:rsid w:val="00923E4D"/>
    <w:rsid w:val="00925073"/>
    <w:rsid w:val="0092523E"/>
    <w:rsid w:val="00925975"/>
    <w:rsid w:val="00926B54"/>
    <w:rsid w:val="00931BD9"/>
    <w:rsid w:val="00932AD5"/>
    <w:rsid w:val="009335C4"/>
    <w:rsid w:val="00934715"/>
    <w:rsid w:val="0093556E"/>
    <w:rsid w:val="00935B08"/>
    <w:rsid w:val="009368F3"/>
    <w:rsid w:val="00940321"/>
    <w:rsid w:val="0094121C"/>
    <w:rsid w:val="00941636"/>
    <w:rsid w:val="009434B4"/>
    <w:rsid w:val="00943742"/>
    <w:rsid w:val="00945C05"/>
    <w:rsid w:val="00946174"/>
    <w:rsid w:val="00946945"/>
    <w:rsid w:val="009475B9"/>
    <w:rsid w:val="00947713"/>
    <w:rsid w:val="009505EE"/>
    <w:rsid w:val="00950DE7"/>
    <w:rsid w:val="009515EE"/>
    <w:rsid w:val="00952983"/>
    <w:rsid w:val="0095385A"/>
    <w:rsid w:val="00953920"/>
    <w:rsid w:val="00953D47"/>
    <w:rsid w:val="0095681E"/>
    <w:rsid w:val="009572D4"/>
    <w:rsid w:val="00957CF4"/>
    <w:rsid w:val="00961921"/>
    <w:rsid w:val="00963ACD"/>
    <w:rsid w:val="0096430A"/>
    <w:rsid w:val="00964BB9"/>
    <w:rsid w:val="00965075"/>
    <w:rsid w:val="0096554B"/>
    <w:rsid w:val="0096584A"/>
    <w:rsid w:val="0096595B"/>
    <w:rsid w:val="0096790A"/>
    <w:rsid w:val="0097004F"/>
    <w:rsid w:val="0097090C"/>
    <w:rsid w:val="00971F08"/>
    <w:rsid w:val="009721EC"/>
    <w:rsid w:val="00972211"/>
    <w:rsid w:val="009734F6"/>
    <w:rsid w:val="0097484E"/>
    <w:rsid w:val="00975CE3"/>
    <w:rsid w:val="0097603D"/>
    <w:rsid w:val="00976949"/>
    <w:rsid w:val="00977968"/>
    <w:rsid w:val="00980477"/>
    <w:rsid w:val="00981D48"/>
    <w:rsid w:val="0098315E"/>
    <w:rsid w:val="00984474"/>
    <w:rsid w:val="00985039"/>
    <w:rsid w:val="00985253"/>
    <w:rsid w:val="009853B3"/>
    <w:rsid w:val="009854C3"/>
    <w:rsid w:val="00986144"/>
    <w:rsid w:val="00987244"/>
    <w:rsid w:val="00990630"/>
    <w:rsid w:val="00991761"/>
    <w:rsid w:val="00994DCA"/>
    <w:rsid w:val="009956CC"/>
    <w:rsid w:val="0099609F"/>
    <w:rsid w:val="009960EC"/>
    <w:rsid w:val="009970DD"/>
    <w:rsid w:val="009A0A3D"/>
    <w:rsid w:val="009A0FBA"/>
    <w:rsid w:val="009A159D"/>
    <w:rsid w:val="009A1601"/>
    <w:rsid w:val="009A1AA7"/>
    <w:rsid w:val="009A3512"/>
    <w:rsid w:val="009A3BB6"/>
    <w:rsid w:val="009A462D"/>
    <w:rsid w:val="009A5529"/>
    <w:rsid w:val="009A5CBA"/>
    <w:rsid w:val="009B1F30"/>
    <w:rsid w:val="009B3852"/>
    <w:rsid w:val="009B3AC2"/>
    <w:rsid w:val="009B4DF4"/>
    <w:rsid w:val="009B564E"/>
    <w:rsid w:val="009B69A4"/>
    <w:rsid w:val="009B789F"/>
    <w:rsid w:val="009B7E87"/>
    <w:rsid w:val="009C0169"/>
    <w:rsid w:val="009C02AD"/>
    <w:rsid w:val="009C0304"/>
    <w:rsid w:val="009C277F"/>
    <w:rsid w:val="009C2F0A"/>
    <w:rsid w:val="009C403E"/>
    <w:rsid w:val="009C611A"/>
    <w:rsid w:val="009C6E52"/>
    <w:rsid w:val="009D4790"/>
    <w:rsid w:val="009D4FF0"/>
    <w:rsid w:val="009D53EB"/>
    <w:rsid w:val="009D6DDD"/>
    <w:rsid w:val="009D703C"/>
    <w:rsid w:val="009D718F"/>
    <w:rsid w:val="009D79E4"/>
    <w:rsid w:val="009E068F"/>
    <w:rsid w:val="009E14E0"/>
    <w:rsid w:val="009E29B6"/>
    <w:rsid w:val="009E320D"/>
    <w:rsid w:val="009E35DB"/>
    <w:rsid w:val="009E45FB"/>
    <w:rsid w:val="009E47A3"/>
    <w:rsid w:val="009E5824"/>
    <w:rsid w:val="009E7184"/>
    <w:rsid w:val="009F08F3"/>
    <w:rsid w:val="009F344F"/>
    <w:rsid w:val="009F7C1D"/>
    <w:rsid w:val="009F7D7C"/>
    <w:rsid w:val="00A01C73"/>
    <w:rsid w:val="00A02E86"/>
    <w:rsid w:val="00A03116"/>
    <w:rsid w:val="00A031D8"/>
    <w:rsid w:val="00A048A8"/>
    <w:rsid w:val="00A04F49"/>
    <w:rsid w:val="00A0746C"/>
    <w:rsid w:val="00A12D5A"/>
    <w:rsid w:val="00A13E54"/>
    <w:rsid w:val="00A15F0C"/>
    <w:rsid w:val="00A17411"/>
    <w:rsid w:val="00A1765A"/>
    <w:rsid w:val="00A17C6E"/>
    <w:rsid w:val="00A17F63"/>
    <w:rsid w:val="00A211B1"/>
    <w:rsid w:val="00A2193B"/>
    <w:rsid w:val="00A226AE"/>
    <w:rsid w:val="00A2351A"/>
    <w:rsid w:val="00A2424F"/>
    <w:rsid w:val="00A264A9"/>
    <w:rsid w:val="00A2671B"/>
    <w:rsid w:val="00A2684D"/>
    <w:rsid w:val="00A26DCF"/>
    <w:rsid w:val="00A27785"/>
    <w:rsid w:val="00A27799"/>
    <w:rsid w:val="00A30187"/>
    <w:rsid w:val="00A3262A"/>
    <w:rsid w:val="00A32776"/>
    <w:rsid w:val="00A32D6A"/>
    <w:rsid w:val="00A32FF8"/>
    <w:rsid w:val="00A3448A"/>
    <w:rsid w:val="00A34EE1"/>
    <w:rsid w:val="00A36297"/>
    <w:rsid w:val="00A36BCD"/>
    <w:rsid w:val="00A37AEA"/>
    <w:rsid w:val="00A41E2B"/>
    <w:rsid w:val="00A45B74"/>
    <w:rsid w:val="00A466AA"/>
    <w:rsid w:val="00A5151C"/>
    <w:rsid w:val="00A520C6"/>
    <w:rsid w:val="00A528E8"/>
    <w:rsid w:val="00A52E1D"/>
    <w:rsid w:val="00A53656"/>
    <w:rsid w:val="00A54CC2"/>
    <w:rsid w:val="00A5545E"/>
    <w:rsid w:val="00A602DB"/>
    <w:rsid w:val="00A61499"/>
    <w:rsid w:val="00A62A77"/>
    <w:rsid w:val="00A63307"/>
    <w:rsid w:val="00A63483"/>
    <w:rsid w:val="00A645FD"/>
    <w:rsid w:val="00A64656"/>
    <w:rsid w:val="00A64B41"/>
    <w:rsid w:val="00A65704"/>
    <w:rsid w:val="00A657D7"/>
    <w:rsid w:val="00A65CB3"/>
    <w:rsid w:val="00A660AC"/>
    <w:rsid w:val="00A6625B"/>
    <w:rsid w:val="00A67E6C"/>
    <w:rsid w:val="00A708DE"/>
    <w:rsid w:val="00A71B30"/>
    <w:rsid w:val="00A71B99"/>
    <w:rsid w:val="00A71ED4"/>
    <w:rsid w:val="00A739D0"/>
    <w:rsid w:val="00A75800"/>
    <w:rsid w:val="00A75B48"/>
    <w:rsid w:val="00A761D4"/>
    <w:rsid w:val="00A77734"/>
    <w:rsid w:val="00A77EC4"/>
    <w:rsid w:val="00A809D4"/>
    <w:rsid w:val="00A82842"/>
    <w:rsid w:val="00A85147"/>
    <w:rsid w:val="00A857B5"/>
    <w:rsid w:val="00A87DB4"/>
    <w:rsid w:val="00A92879"/>
    <w:rsid w:val="00A9442A"/>
    <w:rsid w:val="00A97D83"/>
    <w:rsid w:val="00AA016F"/>
    <w:rsid w:val="00AA086C"/>
    <w:rsid w:val="00AA0D91"/>
    <w:rsid w:val="00AA1BEA"/>
    <w:rsid w:val="00AA1ED6"/>
    <w:rsid w:val="00AA274B"/>
    <w:rsid w:val="00AA3A8A"/>
    <w:rsid w:val="00AA3C32"/>
    <w:rsid w:val="00AA4B78"/>
    <w:rsid w:val="00AA4FEF"/>
    <w:rsid w:val="00AA51D6"/>
    <w:rsid w:val="00AA689A"/>
    <w:rsid w:val="00AB0BC8"/>
    <w:rsid w:val="00AB11B0"/>
    <w:rsid w:val="00AB11CA"/>
    <w:rsid w:val="00AB14D9"/>
    <w:rsid w:val="00AB2293"/>
    <w:rsid w:val="00AB4AB8"/>
    <w:rsid w:val="00AB52CB"/>
    <w:rsid w:val="00AB5947"/>
    <w:rsid w:val="00AB655E"/>
    <w:rsid w:val="00AC007F"/>
    <w:rsid w:val="00AC2ECD"/>
    <w:rsid w:val="00AC2F48"/>
    <w:rsid w:val="00AC3119"/>
    <w:rsid w:val="00AC49FB"/>
    <w:rsid w:val="00AC5525"/>
    <w:rsid w:val="00AC5A10"/>
    <w:rsid w:val="00AC6727"/>
    <w:rsid w:val="00AC6C49"/>
    <w:rsid w:val="00AD0072"/>
    <w:rsid w:val="00AD0299"/>
    <w:rsid w:val="00AD0321"/>
    <w:rsid w:val="00AD0493"/>
    <w:rsid w:val="00AD0AA3"/>
    <w:rsid w:val="00AD2ED0"/>
    <w:rsid w:val="00AD32A2"/>
    <w:rsid w:val="00AD3BD6"/>
    <w:rsid w:val="00AD3F94"/>
    <w:rsid w:val="00AD4A5A"/>
    <w:rsid w:val="00AE2091"/>
    <w:rsid w:val="00AE24D0"/>
    <w:rsid w:val="00AE27AC"/>
    <w:rsid w:val="00AE40E0"/>
    <w:rsid w:val="00AE4DBA"/>
    <w:rsid w:val="00AE4F07"/>
    <w:rsid w:val="00AE5153"/>
    <w:rsid w:val="00AE6B46"/>
    <w:rsid w:val="00AF1C5D"/>
    <w:rsid w:val="00AF26FF"/>
    <w:rsid w:val="00AF36E3"/>
    <w:rsid w:val="00AF42D7"/>
    <w:rsid w:val="00AF4A64"/>
    <w:rsid w:val="00AF5742"/>
    <w:rsid w:val="00B006FE"/>
    <w:rsid w:val="00B007CB"/>
    <w:rsid w:val="00B01337"/>
    <w:rsid w:val="00B014CE"/>
    <w:rsid w:val="00B02AA9"/>
    <w:rsid w:val="00B02FA3"/>
    <w:rsid w:val="00B03F2A"/>
    <w:rsid w:val="00B05084"/>
    <w:rsid w:val="00B13F88"/>
    <w:rsid w:val="00B157F9"/>
    <w:rsid w:val="00B15836"/>
    <w:rsid w:val="00B20256"/>
    <w:rsid w:val="00B20D09"/>
    <w:rsid w:val="00B26805"/>
    <w:rsid w:val="00B2698B"/>
    <w:rsid w:val="00B27608"/>
    <w:rsid w:val="00B2763F"/>
    <w:rsid w:val="00B27AAC"/>
    <w:rsid w:val="00B30929"/>
    <w:rsid w:val="00B33CB4"/>
    <w:rsid w:val="00B372AA"/>
    <w:rsid w:val="00B40445"/>
    <w:rsid w:val="00B409E0"/>
    <w:rsid w:val="00B41888"/>
    <w:rsid w:val="00B454E1"/>
    <w:rsid w:val="00B45A52"/>
    <w:rsid w:val="00B46175"/>
    <w:rsid w:val="00B51EDB"/>
    <w:rsid w:val="00B548B7"/>
    <w:rsid w:val="00B549FC"/>
    <w:rsid w:val="00B54DD6"/>
    <w:rsid w:val="00B60154"/>
    <w:rsid w:val="00B6161E"/>
    <w:rsid w:val="00B61AB2"/>
    <w:rsid w:val="00B62A86"/>
    <w:rsid w:val="00B644C4"/>
    <w:rsid w:val="00B65B1C"/>
    <w:rsid w:val="00B65FF5"/>
    <w:rsid w:val="00B66338"/>
    <w:rsid w:val="00B664C7"/>
    <w:rsid w:val="00B67497"/>
    <w:rsid w:val="00B713D8"/>
    <w:rsid w:val="00B717E3"/>
    <w:rsid w:val="00B71F21"/>
    <w:rsid w:val="00B739F6"/>
    <w:rsid w:val="00B755E0"/>
    <w:rsid w:val="00B76019"/>
    <w:rsid w:val="00B80D1B"/>
    <w:rsid w:val="00B81A6C"/>
    <w:rsid w:val="00B841B4"/>
    <w:rsid w:val="00B85DE5"/>
    <w:rsid w:val="00B87F63"/>
    <w:rsid w:val="00B90F73"/>
    <w:rsid w:val="00B90FF4"/>
    <w:rsid w:val="00B9164E"/>
    <w:rsid w:val="00B91701"/>
    <w:rsid w:val="00B923DF"/>
    <w:rsid w:val="00B93B59"/>
    <w:rsid w:val="00B9406A"/>
    <w:rsid w:val="00B953ED"/>
    <w:rsid w:val="00B956AD"/>
    <w:rsid w:val="00B960E8"/>
    <w:rsid w:val="00B965AB"/>
    <w:rsid w:val="00B97D1D"/>
    <w:rsid w:val="00B97D8B"/>
    <w:rsid w:val="00BA09BA"/>
    <w:rsid w:val="00BA2280"/>
    <w:rsid w:val="00BA2A08"/>
    <w:rsid w:val="00BA56D2"/>
    <w:rsid w:val="00BA76E0"/>
    <w:rsid w:val="00BA7B2A"/>
    <w:rsid w:val="00BB13BD"/>
    <w:rsid w:val="00BB2A25"/>
    <w:rsid w:val="00BB3777"/>
    <w:rsid w:val="00BB51E9"/>
    <w:rsid w:val="00BB6692"/>
    <w:rsid w:val="00BB6E10"/>
    <w:rsid w:val="00BB76F2"/>
    <w:rsid w:val="00BC0FDC"/>
    <w:rsid w:val="00BC1125"/>
    <w:rsid w:val="00BC3053"/>
    <w:rsid w:val="00BC4D2E"/>
    <w:rsid w:val="00BC6E87"/>
    <w:rsid w:val="00BC73A0"/>
    <w:rsid w:val="00BC7AA1"/>
    <w:rsid w:val="00BD07CC"/>
    <w:rsid w:val="00BD2170"/>
    <w:rsid w:val="00BD29D1"/>
    <w:rsid w:val="00BD3588"/>
    <w:rsid w:val="00BD3729"/>
    <w:rsid w:val="00BD48AC"/>
    <w:rsid w:val="00BD5013"/>
    <w:rsid w:val="00BD5F1A"/>
    <w:rsid w:val="00BD65C1"/>
    <w:rsid w:val="00BD7400"/>
    <w:rsid w:val="00BE0271"/>
    <w:rsid w:val="00BE10CD"/>
    <w:rsid w:val="00BE1234"/>
    <w:rsid w:val="00BE18E9"/>
    <w:rsid w:val="00BE25C4"/>
    <w:rsid w:val="00BE2CB4"/>
    <w:rsid w:val="00BE2FA6"/>
    <w:rsid w:val="00BE333F"/>
    <w:rsid w:val="00BE7406"/>
    <w:rsid w:val="00BE7603"/>
    <w:rsid w:val="00BF16F6"/>
    <w:rsid w:val="00BF1E70"/>
    <w:rsid w:val="00BF30A2"/>
    <w:rsid w:val="00BF3279"/>
    <w:rsid w:val="00BF4B5F"/>
    <w:rsid w:val="00BF681C"/>
    <w:rsid w:val="00BF6DCB"/>
    <w:rsid w:val="00BF74C7"/>
    <w:rsid w:val="00C005CA"/>
    <w:rsid w:val="00C015F1"/>
    <w:rsid w:val="00C017B5"/>
    <w:rsid w:val="00C01F33"/>
    <w:rsid w:val="00C02CC6"/>
    <w:rsid w:val="00C040F7"/>
    <w:rsid w:val="00C044AB"/>
    <w:rsid w:val="00C05706"/>
    <w:rsid w:val="00C06B65"/>
    <w:rsid w:val="00C07377"/>
    <w:rsid w:val="00C10478"/>
    <w:rsid w:val="00C12107"/>
    <w:rsid w:val="00C13D6D"/>
    <w:rsid w:val="00C14D4B"/>
    <w:rsid w:val="00C154BB"/>
    <w:rsid w:val="00C169D7"/>
    <w:rsid w:val="00C20F33"/>
    <w:rsid w:val="00C2347B"/>
    <w:rsid w:val="00C23BDD"/>
    <w:rsid w:val="00C23CA2"/>
    <w:rsid w:val="00C26F81"/>
    <w:rsid w:val="00C27818"/>
    <w:rsid w:val="00C279B5"/>
    <w:rsid w:val="00C27C45"/>
    <w:rsid w:val="00C303DE"/>
    <w:rsid w:val="00C3338D"/>
    <w:rsid w:val="00C35DE8"/>
    <w:rsid w:val="00C36A08"/>
    <w:rsid w:val="00C3719D"/>
    <w:rsid w:val="00C37734"/>
    <w:rsid w:val="00C37CB2"/>
    <w:rsid w:val="00C42B7C"/>
    <w:rsid w:val="00C42C7C"/>
    <w:rsid w:val="00C433D8"/>
    <w:rsid w:val="00C434B9"/>
    <w:rsid w:val="00C43FE4"/>
    <w:rsid w:val="00C4412A"/>
    <w:rsid w:val="00C4448C"/>
    <w:rsid w:val="00C45142"/>
    <w:rsid w:val="00C462CB"/>
    <w:rsid w:val="00C46CBC"/>
    <w:rsid w:val="00C473A5"/>
    <w:rsid w:val="00C5161D"/>
    <w:rsid w:val="00C51636"/>
    <w:rsid w:val="00C52D24"/>
    <w:rsid w:val="00C53BB6"/>
    <w:rsid w:val="00C547BB"/>
    <w:rsid w:val="00C54861"/>
    <w:rsid w:val="00C54995"/>
    <w:rsid w:val="00C54D41"/>
    <w:rsid w:val="00C5539E"/>
    <w:rsid w:val="00C60783"/>
    <w:rsid w:val="00C60880"/>
    <w:rsid w:val="00C60EF4"/>
    <w:rsid w:val="00C61E9F"/>
    <w:rsid w:val="00C620D7"/>
    <w:rsid w:val="00C62AC8"/>
    <w:rsid w:val="00C63BC7"/>
    <w:rsid w:val="00C641D0"/>
    <w:rsid w:val="00C64672"/>
    <w:rsid w:val="00C64D18"/>
    <w:rsid w:val="00C66986"/>
    <w:rsid w:val="00C66BD9"/>
    <w:rsid w:val="00C701B9"/>
    <w:rsid w:val="00C70697"/>
    <w:rsid w:val="00C72093"/>
    <w:rsid w:val="00C72EF4"/>
    <w:rsid w:val="00C739FC"/>
    <w:rsid w:val="00C744FE"/>
    <w:rsid w:val="00C74F02"/>
    <w:rsid w:val="00C75D2F"/>
    <w:rsid w:val="00C767BE"/>
    <w:rsid w:val="00C76E3C"/>
    <w:rsid w:val="00C774EA"/>
    <w:rsid w:val="00C77A38"/>
    <w:rsid w:val="00C80159"/>
    <w:rsid w:val="00C80590"/>
    <w:rsid w:val="00C81568"/>
    <w:rsid w:val="00C81945"/>
    <w:rsid w:val="00C832F2"/>
    <w:rsid w:val="00C83ABA"/>
    <w:rsid w:val="00C87035"/>
    <w:rsid w:val="00C87535"/>
    <w:rsid w:val="00C9027A"/>
    <w:rsid w:val="00C9068E"/>
    <w:rsid w:val="00C93814"/>
    <w:rsid w:val="00C93C4B"/>
    <w:rsid w:val="00C944AB"/>
    <w:rsid w:val="00C956F8"/>
    <w:rsid w:val="00C95B40"/>
    <w:rsid w:val="00C9783A"/>
    <w:rsid w:val="00C97CC2"/>
    <w:rsid w:val="00CA1ED8"/>
    <w:rsid w:val="00CA24FC"/>
    <w:rsid w:val="00CA267F"/>
    <w:rsid w:val="00CA3F4F"/>
    <w:rsid w:val="00CA5934"/>
    <w:rsid w:val="00CA6C2B"/>
    <w:rsid w:val="00CB1F63"/>
    <w:rsid w:val="00CB21C7"/>
    <w:rsid w:val="00CB2BC5"/>
    <w:rsid w:val="00CB45B7"/>
    <w:rsid w:val="00CB5F5C"/>
    <w:rsid w:val="00CB6D5D"/>
    <w:rsid w:val="00CB7170"/>
    <w:rsid w:val="00CC040E"/>
    <w:rsid w:val="00CC111F"/>
    <w:rsid w:val="00CC2011"/>
    <w:rsid w:val="00CC35C8"/>
    <w:rsid w:val="00CC3EA0"/>
    <w:rsid w:val="00CC78B3"/>
    <w:rsid w:val="00CC7B45"/>
    <w:rsid w:val="00CD097D"/>
    <w:rsid w:val="00CD1188"/>
    <w:rsid w:val="00CD16FC"/>
    <w:rsid w:val="00CD2ED1"/>
    <w:rsid w:val="00CD337B"/>
    <w:rsid w:val="00CD3AA3"/>
    <w:rsid w:val="00CD4058"/>
    <w:rsid w:val="00CD4991"/>
    <w:rsid w:val="00CD5361"/>
    <w:rsid w:val="00CD5434"/>
    <w:rsid w:val="00CD5AAB"/>
    <w:rsid w:val="00CE0424"/>
    <w:rsid w:val="00CE1C6A"/>
    <w:rsid w:val="00CE3941"/>
    <w:rsid w:val="00CE4767"/>
    <w:rsid w:val="00CE7561"/>
    <w:rsid w:val="00CE7E49"/>
    <w:rsid w:val="00CF1354"/>
    <w:rsid w:val="00CF1D9B"/>
    <w:rsid w:val="00CF1DB5"/>
    <w:rsid w:val="00CF308F"/>
    <w:rsid w:val="00CF3B1F"/>
    <w:rsid w:val="00CF3B24"/>
    <w:rsid w:val="00CF3BF6"/>
    <w:rsid w:val="00CF46C8"/>
    <w:rsid w:val="00CF625B"/>
    <w:rsid w:val="00CF687E"/>
    <w:rsid w:val="00CF7205"/>
    <w:rsid w:val="00CF7231"/>
    <w:rsid w:val="00CF72C8"/>
    <w:rsid w:val="00D0118A"/>
    <w:rsid w:val="00D02EC0"/>
    <w:rsid w:val="00D02F3F"/>
    <w:rsid w:val="00D0349B"/>
    <w:rsid w:val="00D049BB"/>
    <w:rsid w:val="00D10249"/>
    <w:rsid w:val="00D103CA"/>
    <w:rsid w:val="00D115C3"/>
    <w:rsid w:val="00D11897"/>
    <w:rsid w:val="00D126F0"/>
    <w:rsid w:val="00D13135"/>
    <w:rsid w:val="00D13E4E"/>
    <w:rsid w:val="00D1784D"/>
    <w:rsid w:val="00D179B8"/>
    <w:rsid w:val="00D22D0A"/>
    <w:rsid w:val="00D239A7"/>
    <w:rsid w:val="00D23F47"/>
    <w:rsid w:val="00D26797"/>
    <w:rsid w:val="00D27BC5"/>
    <w:rsid w:val="00D30B07"/>
    <w:rsid w:val="00D36E71"/>
    <w:rsid w:val="00D37587"/>
    <w:rsid w:val="00D37D87"/>
    <w:rsid w:val="00D40B33"/>
    <w:rsid w:val="00D41567"/>
    <w:rsid w:val="00D41BB3"/>
    <w:rsid w:val="00D42A30"/>
    <w:rsid w:val="00D4318F"/>
    <w:rsid w:val="00D438BF"/>
    <w:rsid w:val="00D44065"/>
    <w:rsid w:val="00D44095"/>
    <w:rsid w:val="00D440F8"/>
    <w:rsid w:val="00D44591"/>
    <w:rsid w:val="00D4679B"/>
    <w:rsid w:val="00D5003D"/>
    <w:rsid w:val="00D50569"/>
    <w:rsid w:val="00D50720"/>
    <w:rsid w:val="00D50BD2"/>
    <w:rsid w:val="00D5149A"/>
    <w:rsid w:val="00D52090"/>
    <w:rsid w:val="00D52094"/>
    <w:rsid w:val="00D546FF"/>
    <w:rsid w:val="00D556B5"/>
    <w:rsid w:val="00D55AD5"/>
    <w:rsid w:val="00D55E66"/>
    <w:rsid w:val="00D576CA"/>
    <w:rsid w:val="00D57880"/>
    <w:rsid w:val="00D606C3"/>
    <w:rsid w:val="00D61AF5"/>
    <w:rsid w:val="00D652B5"/>
    <w:rsid w:val="00D65C97"/>
    <w:rsid w:val="00D66155"/>
    <w:rsid w:val="00D708B0"/>
    <w:rsid w:val="00D70E3B"/>
    <w:rsid w:val="00D7182A"/>
    <w:rsid w:val="00D726DE"/>
    <w:rsid w:val="00D74AB8"/>
    <w:rsid w:val="00D74D2C"/>
    <w:rsid w:val="00D76485"/>
    <w:rsid w:val="00D7698E"/>
    <w:rsid w:val="00D777D8"/>
    <w:rsid w:val="00D77AC9"/>
    <w:rsid w:val="00D77B1D"/>
    <w:rsid w:val="00D8021F"/>
    <w:rsid w:val="00D80383"/>
    <w:rsid w:val="00D823C6"/>
    <w:rsid w:val="00D82A66"/>
    <w:rsid w:val="00D8327F"/>
    <w:rsid w:val="00D85409"/>
    <w:rsid w:val="00D86CA3"/>
    <w:rsid w:val="00D871CE"/>
    <w:rsid w:val="00D87A43"/>
    <w:rsid w:val="00D9062D"/>
    <w:rsid w:val="00D90BF6"/>
    <w:rsid w:val="00D9196D"/>
    <w:rsid w:val="00D92982"/>
    <w:rsid w:val="00D935AB"/>
    <w:rsid w:val="00D949E0"/>
    <w:rsid w:val="00D9521F"/>
    <w:rsid w:val="00DA0B47"/>
    <w:rsid w:val="00DA305E"/>
    <w:rsid w:val="00DA4070"/>
    <w:rsid w:val="00DA504A"/>
    <w:rsid w:val="00DA5149"/>
    <w:rsid w:val="00DA5417"/>
    <w:rsid w:val="00DA56E8"/>
    <w:rsid w:val="00DB0A9F"/>
    <w:rsid w:val="00DB35AA"/>
    <w:rsid w:val="00DB377D"/>
    <w:rsid w:val="00DC1683"/>
    <w:rsid w:val="00DC1A1E"/>
    <w:rsid w:val="00DC29B0"/>
    <w:rsid w:val="00DC2D36"/>
    <w:rsid w:val="00DC3EC8"/>
    <w:rsid w:val="00DC53EF"/>
    <w:rsid w:val="00DD488A"/>
    <w:rsid w:val="00DD65F7"/>
    <w:rsid w:val="00DE03D0"/>
    <w:rsid w:val="00DE338E"/>
    <w:rsid w:val="00DE45DA"/>
    <w:rsid w:val="00DE4ADF"/>
    <w:rsid w:val="00DE5608"/>
    <w:rsid w:val="00DE58D0"/>
    <w:rsid w:val="00DE654F"/>
    <w:rsid w:val="00DE6DB2"/>
    <w:rsid w:val="00DF06CE"/>
    <w:rsid w:val="00DF0B6E"/>
    <w:rsid w:val="00DF15E0"/>
    <w:rsid w:val="00DF1968"/>
    <w:rsid w:val="00DF37A0"/>
    <w:rsid w:val="00DF414B"/>
    <w:rsid w:val="00DF6910"/>
    <w:rsid w:val="00DF730D"/>
    <w:rsid w:val="00E00D18"/>
    <w:rsid w:val="00E023DF"/>
    <w:rsid w:val="00E05D7B"/>
    <w:rsid w:val="00E0669C"/>
    <w:rsid w:val="00E078C8"/>
    <w:rsid w:val="00E110E7"/>
    <w:rsid w:val="00E11B20"/>
    <w:rsid w:val="00E13272"/>
    <w:rsid w:val="00E14966"/>
    <w:rsid w:val="00E1539D"/>
    <w:rsid w:val="00E15689"/>
    <w:rsid w:val="00E16D36"/>
    <w:rsid w:val="00E17FA2"/>
    <w:rsid w:val="00E202A7"/>
    <w:rsid w:val="00E22330"/>
    <w:rsid w:val="00E25FAC"/>
    <w:rsid w:val="00E27A4C"/>
    <w:rsid w:val="00E30B5A"/>
    <w:rsid w:val="00E3123D"/>
    <w:rsid w:val="00E31461"/>
    <w:rsid w:val="00E31D43"/>
    <w:rsid w:val="00E32608"/>
    <w:rsid w:val="00E32636"/>
    <w:rsid w:val="00E34188"/>
    <w:rsid w:val="00E34B6E"/>
    <w:rsid w:val="00E35559"/>
    <w:rsid w:val="00E3598E"/>
    <w:rsid w:val="00E3655B"/>
    <w:rsid w:val="00E3723A"/>
    <w:rsid w:val="00E3733F"/>
    <w:rsid w:val="00E376B5"/>
    <w:rsid w:val="00E37860"/>
    <w:rsid w:val="00E42432"/>
    <w:rsid w:val="00E446F1"/>
    <w:rsid w:val="00E45448"/>
    <w:rsid w:val="00E45ADA"/>
    <w:rsid w:val="00E467B8"/>
    <w:rsid w:val="00E46886"/>
    <w:rsid w:val="00E47AEF"/>
    <w:rsid w:val="00E511DB"/>
    <w:rsid w:val="00E52943"/>
    <w:rsid w:val="00E53473"/>
    <w:rsid w:val="00E5375E"/>
    <w:rsid w:val="00E53B75"/>
    <w:rsid w:val="00E54E3B"/>
    <w:rsid w:val="00E57565"/>
    <w:rsid w:val="00E60929"/>
    <w:rsid w:val="00E62CA5"/>
    <w:rsid w:val="00E63838"/>
    <w:rsid w:val="00E63BF7"/>
    <w:rsid w:val="00E640B1"/>
    <w:rsid w:val="00E64434"/>
    <w:rsid w:val="00E651BF"/>
    <w:rsid w:val="00E651EA"/>
    <w:rsid w:val="00E67C51"/>
    <w:rsid w:val="00E7013D"/>
    <w:rsid w:val="00E70BDB"/>
    <w:rsid w:val="00E72EFC"/>
    <w:rsid w:val="00E7310B"/>
    <w:rsid w:val="00E73A85"/>
    <w:rsid w:val="00E758EC"/>
    <w:rsid w:val="00E75AF6"/>
    <w:rsid w:val="00E76CB6"/>
    <w:rsid w:val="00E77F42"/>
    <w:rsid w:val="00E8234C"/>
    <w:rsid w:val="00E82C11"/>
    <w:rsid w:val="00E839D5"/>
    <w:rsid w:val="00E83AA9"/>
    <w:rsid w:val="00E843B1"/>
    <w:rsid w:val="00E85928"/>
    <w:rsid w:val="00E87588"/>
    <w:rsid w:val="00E87822"/>
    <w:rsid w:val="00E90395"/>
    <w:rsid w:val="00E90E49"/>
    <w:rsid w:val="00E917F9"/>
    <w:rsid w:val="00E9291C"/>
    <w:rsid w:val="00E93FFE"/>
    <w:rsid w:val="00E94F8A"/>
    <w:rsid w:val="00E95B9E"/>
    <w:rsid w:val="00E971A8"/>
    <w:rsid w:val="00EA1481"/>
    <w:rsid w:val="00EA492C"/>
    <w:rsid w:val="00EA7A41"/>
    <w:rsid w:val="00EB077B"/>
    <w:rsid w:val="00EB2177"/>
    <w:rsid w:val="00EB41D5"/>
    <w:rsid w:val="00EB47F1"/>
    <w:rsid w:val="00EB4EA2"/>
    <w:rsid w:val="00EB7524"/>
    <w:rsid w:val="00EC24C6"/>
    <w:rsid w:val="00EC24D5"/>
    <w:rsid w:val="00EC27C6"/>
    <w:rsid w:val="00EC4207"/>
    <w:rsid w:val="00EC46BE"/>
    <w:rsid w:val="00EC4F84"/>
    <w:rsid w:val="00EC5653"/>
    <w:rsid w:val="00EC71CE"/>
    <w:rsid w:val="00EC7834"/>
    <w:rsid w:val="00ED1006"/>
    <w:rsid w:val="00ED2D9A"/>
    <w:rsid w:val="00ED2E19"/>
    <w:rsid w:val="00ED3598"/>
    <w:rsid w:val="00ED40C4"/>
    <w:rsid w:val="00ED46A0"/>
    <w:rsid w:val="00ED4FDF"/>
    <w:rsid w:val="00EE15AE"/>
    <w:rsid w:val="00EE21EF"/>
    <w:rsid w:val="00EE27D8"/>
    <w:rsid w:val="00EE6E3B"/>
    <w:rsid w:val="00EE6F23"/>
    <w:rsid w:val="00EE787F"/>
    <w:rsid w:val="00EE7D0B"/>
    <w:rsid w:val="00EF18FE"/>
    <w:rsid w:val="00EF19DE"/>
    <w:rsid w:val="00EF44CE"/>
    <w:rsid w:val="00EF5787"/>
    <w:rsid w:val="00EF606F"/>
    <w:rsid w:val="00EF60D0"/>
    <w:rsid w:val="00EF6123"/>
    <w:rsid w:val="00EF65E3"/>
    <w:rsid w:val="00EF6644"/>
    <w:rsid w:val="00F02983"/>
    <w:rsid w:val="00F03556"/>
    <w:rsid w:val="00F0438A"/>
    <w:rsid w:val="00F047D6"/>
    <w:rsid w:val="00F0528D"/>
    <w:rsid w:val="00F06C67"/>
    <w:rsid w:val="00F06DFD"/>
    <w:rsid w:val="00F071D1"/>
    <w:rsid w:val="00F07533"/>
    <w:rsid w:val="00F101CD"/>
    <w:rsid w:val="00F10629"/>
    <w:rsid w:val="00F10AB4"/>
    <w:rsid w:val="00F10E7D"/>
    <w:rsid w:val="00F1144D"/>
    <w:rsid w:val="00F13D3E"/>
    <w:rsid w:val="00F140EA"/>
    <w:rsid w:val="00F15405"/>
    <w:rsid w:val="00F15FA5"/>
    <w:rsid w:val="00F175A1"/>
    <w:rsid w:val="00F1784B"/>
    <w:rsid w:val="00F17EFC"/>
    <w:rsid w:val="00F209B7"/>
    <w:rsid w:val="00F20CBC"/>
    <w:rsid w:val="00F21A47"/>
    <w:rsid w:val="00F2376F"/>
    <w:rsid w:val="00F243D8"/>
    <w:rsid w:val="00F27864"/>
    <w:rsid w:val="00F302BD"/>
    <w:rsid w:val="00F30828"/>
    <w:rsid w:val="00F313D6"/>
    <w:rsid w:val="00F338D9"/>
    <w:rsid w:val="00F35E2D"/>
    <w:rsid w:val="00F36A05"/>
    <w:rsid w:val="00F3783B"/>
    <w:rsid w:val="00F4054E"/>
    <w:rsid w:val="00F40F0C"/>
    <w:rsid w:val="00F41868"/>
    <w:rsid w:val="00F42939"/>
    <w:rsid w:val="00F42EBE"/>
    <w:rsid w:val="00F43F78"/>
    <w:rsid w:val="00F44C00"/>
    <w:rsid w:val="00F45A9C"/>
    <w:rsid w:val="00F46AD5"/>
    <w:rsid w:val="00F4766C"/>
    <w:rsid w:val="00F5060E"/>
    <w:rsid w:val="00F507D1"/>
    <w:rsid w:val="00F519CE"/>
    <w:rsid w:val="00F51ADA"/>
    <w:rsid w:val="00F52CFB"/>
    <w:rsid w:val="00F56808"/>
    <w:rsid w:val="00F56FC1"/>
    <w:rsid w:val="00F577D5"/>
    <w:rsid w:val="00F60203"/>
    <w:rsid w:val="00F607C5"/>
    <w:rsid w:val="00F60DEA"/>
    <w:rsid w:val="00F62301"/>
    <w:rsid w:val="00F6302A"/>
    <w:rsid w:val="00F63950"/>
    <w:rsid w:val="00F64C2B"/>
    <w:rsid w:val="00F64D78"/>
    <w:rsid w:val="00F651BE"/>
    <w:rsid w:val="00F654EF"/>
    <w:rsid w:val="00F65536"/>
    <w:rsid w:val="00F65AFA"/>
    <w:rsid w:val="00F67F53"/>
    <w:rsid w:val="00F703BE"/>
    <w:rsid w:val="00F71C81"/>
    <w:rsid w:val="00F71F69"/>
    <w:rsid w:val="00F72B72"/>
    <w:rsid w:val="00F74BB9"/>
    <w:rsid w:val="00F75582"/>
    <w:rsid w:val="00F75DDE"/>
    <w:rsid w:val="00F76EFA"/>
    <w:rsid w:val="00F804BE"/>
    <w:rsid w:val="00F808D5"/>
    <w:rsid w:val="00F8104E"/>
    <w:rsid w:val="00F817CE"/>
    <w:rsid w:val="00F818B7"/>
    <w:rsid w:val="00F82877"/>
    <w:rsid w:val="00F84165"/>
    <w:rsid w:val="00F8456C"/>
    <w:rsid w:val="00F859D8"/>
    <w:rsid w:val="00F868F5"/>
    <w:rsid w:val="00F86AE2"/>
    <w:rsid w:val="00F86D1D"/>
    <w:rsid w:val="00F86FCC"/>
    <w:rsid w:val="00F9056A"/>
    <w:rsid w:val="00F90716"/>
    <w:rsid w:val="00F9095E"/>
    <w:rsid w:val="00F90F8D"/>
    <w:rsid w:val="00F92782"/>
    <w:rsid w:val="00F92F3E"/>
    <w:rsid w:val="00F9303D"/>
    <w:rsid w:val="00F93AA9"/>
    <w:rsid w:val="00F9482E"/>
    <w:rsid w:val="00F96985"/>
    <w:rsid w:val="00F96A3F"/>
    <w:rsid w:val="00F96D5F"/>
    <w:rsid w:val="00F97838"/>
    <w:rsid w:val="00FA0EB1"/>
    <w:rsid w:val="00FA1B0D"/>
    <w:rsid w:val="00FA26C5"/>
    <w:rsid w:val="00FA2BB3"/>
    <w:rsid w:val="00FA57C1"/>
    <w:rsid w:val="00FB1162"/>
    <w:rsid w:val="00FB244C"/>
    <w:rsid w:val="00FB3FF0"/>
    <w:rsid w:val="00FB4C80"/>
    <w:rsid w:val="00FB585C"/>
    <w:rsid w:val="00FB5EF7"/>
    <w:rsid w:val="00FB6A6A"/>
    <w:rsid w:val="00FB775D"/>
    <w:rsid w:val="00FC7429"/>
    <w:rsid w:val="00FC7CE9"/>
    <w:rsid w:val="00FD07F6"/>
    <w:rsid w:val="00FD1EC8"/>
    <w:rsid w:val="00FD357D"/>
    <w:rsid w:val="00FD47ED"/>
    <w:rsid w:val="00FD64A6"/>
    <w:rsid w:val="00FD73CA"/>
    <w:rsid w:val="00FD74DB"/>
    <w:rsid w:val="00FD7660"/>
    <w:rsid w:val="00FD7E2A"/>
    <w:rsid w:val="00FE0655"/>
    <w:rsid w:val="00FE2365"/>
    <w:rsid w:val="00FE2A7A"/>
    <w:rsid w:val="00FE2AB7"/>
    <w:rsid w:val="00FE37D7"/>
    <w:rsid w:val="00FE4C7B"/>
    <w:rsid w:val="00FE7336"/>
    <w:rsid w:val="00FE787C"/>
    <w:rsid w:val="00FF04D5"/>
    <w:rsid w:val="00FF0DF9"/>
    <w:rsid w:val="00FF435C"/>
    <w:rsid w:val="00FF45A5"/>
    <w:rsid w:val="00FF5C91"/>
    <w:rsid w:val="00FF6661"/>
    <w:rsid w:val="00FF71AD"/>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260D47A-82A0-46A7-8379-4F3B8995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4.xml><?xml version="1.0" encoding="utf-8"?>
<ds:datastoreItem xmlns:ds="http://schemas.openxmlformats.org/officeDocument/2006/customXml" ds:itemID="{69952790-4EBF-481E-8376-FE62EF052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6920</TotalTime>
  <Pages>28</Pages>
  <Words>10036</Words>
  <Characters>53103</Characters>
  <Application>Microsoft Office Word</Application>
  <DocSecurity>0</DocSecurity>
  <Lines>442</Lines>
  <Paragraphs>126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63013</CharactersWithSpaces>
  <SharedDoc>false</SharedDoc>
  <HLinks>
    <vt:vector size="312" baseType="variant">
      <vt:variant>
        <vt:i4>1507382</vt:i4>
      </vt:variant>
      <vt:variant>
        <vt:i4>236</vt:i4>
      </vt:variant>
      <vt:variant>
        <vt:i4>0</vt:i4>
      </vt:variant>
      <vt:variant>
        <vt:i4>5</vt:i4>
      </vt:variant>
      <vt:variant>
        <vt:lpwstr/>
      </vt:variant>
      <vt:variant>
        <vt:lpwstr>_Toc71532567</vt:lpwstr>
      </vt:variant>
      <vt:variant>
        <vt:i4>1441846</vt:i4>
      </vt:variant>
      <vt:variant>
        <vt:i4>233</vt:i4>
      </vt:variant>
      <vt:variant>
        <vt:i4>0</vt:i4>
      </vt:variant>
      <vt:variant>
        <vt:i4>5</vt:i4>
      </vt:variant>
      <vt:variant>
        <vt:lpwstr/>
      </vt:variant>
      <vt:variant>
        <vt:lpwstr>_Toc71532566</vt:lpwstr>
      </vt:variant>
      <vt:variant>
        <vt:i4>1376310</vt:i4>
      </vt:variant>
      <vt:variant>
        <vt:i4>230</vt:i4>
      </vt:variant>
      <vt:variant>
        <vt:i4>0</vt:i4>
      </vt:variant>
      <vt:variant>
        <vt:i4>5</vt:i4>
      </vt:variant>
      <vt:variant>
        <vt:lpwstr/>
      </vt:variant>
      <vt:variant>
        <vt:lpwstr>_Toc71532565</vt:lpwstr>
      </vt:variant>
      <vt:variant>
        <vt:i4>1310774</vt:i4>
      </vt:variant>
      <vt:variant>
        <vt:i4>227</vt:i4>
      </vt:variant>
      <vt:variant>
        <vt:i4>0</vt:i4>
      </vt:variant>
      <vt:variant>
        <vt:i4>5</vt:i4>
      </vt:variant>
      <vt:variant>
        <vt:lpwstr/>
      </vt:variant>
      <vt:variant>
        <vt:lpwstr>_Toc71532564</vt:lpwstr>
      </vt:variant>
      <vt:variant>
        <vt:i4>1245238</vt:i4>
      </vt:variant>
      <vt:variant>
        <vt:i4>224</vt:i4>
      </vt:variant>
      <vt:variant>
        <vt:i4>0</vt:i4>
      </vt:variant>
      <vt:variant>
        <vt:i4>5</vt:i4>
      </vt:variant>
      <vt:variant>
        <vt:lpwstr/>
      </vt:variant>
      <vt:variant>
        <vt:lpwstr>_Toc71532563</vt:lpwstr>
      </vt:variant>
      <vt:variant>
        <vt:i4>1179702</vt:i4>
      </vt:variant>
      <vt:variant>
        <vt:i4>221</vt:i4>
      </vt:variant>
      <vt:variant>
        <vt:i4>0</vt:i4>
      </vt:variant>
      <vt:variant>
        <vt:i4>5</vt:i4>
      </vt:variant>
      <vt:variant>
        <vt:lpwstr/>
      </vt:variant>
      <vt:variant>
        <vt:lpwstr>_Toc71532562</vt:lpwstr>
      </vt:variant>
      <vt:variant>
        <vt:i4>1114166</vt:i4>
      </vt:variant>
      <vt:variant>
        <vt:i4>218</vt:i4>
      </vt:variant>
      <vt:variant>
        <vt:i4>0</vt:i4>
      </vt:variant>
      <vt:variant>
        <vt:i4>5</vt:i4>
      </vt:variant>
      <vt:variant>
        <vt:lpwstr/>
      </vt:variant>
      <vt:variant>
        <vt:lpwstr>_Toc71532561</vt:lpwstr>
      </vt:variant>
      <vt:variant>
        <vt:i4>1048630</vt:i4>
      </vt:variant>
      <vt:variant>
        <vt:i4>215</vt:i4>
      </vt:variant>
      <vt:variant>
        <vt:i4>0</vt:i4>
      </vt:variant>
      <vt:variant>
        <vt:i4>5</vt:i4>
      </vt:variant>
      <vt:variant>
        <vt:lpwstr/>
      </vt:variant>
      <vt:variant>
        <vt:lpwstr>_Toc71532560</vt:lpwstr>
      </vt:variant>
      <vt:variant>
        <vt:i4>1638453</vt:i4>
      </vt:variant>
      <vt:variant>
        <vt:i4>212</vt:i4>
      </vt:variant>
      <vt:variant>
        <vt:i4>0</vt:i4>
      </vt:variant>
      <vt:variant>
        <vt:i4>5</vt:i4>
      </vt:variant>
      <vt:variant>
        <vt:lpwstr/>
      </vt:variant>
      <vt:variant>
        <vt:lpwstr>_Toc71532559</vt:lpwstr>
      </vt:variant>
      <vt:variant>
        <vt:i4>1572917</vt:i4>
      </vt:variant>
      <vt:variant>
        <vt:i4>209</vt:i4>
      </vt:variant>
      <vt:variant>
        <vt:i4>0</vt:i4>
      </vt:variant>
      <vt:variant>
        <vt:i4>5</vt:i4>
      </vt:variant>
      <vt:variant>
        <vt:lpwstr/>
      </vt:variant>
      <vt:variant>
        <vt:lpwstr>_Toc71532558</vt:lpwstr>
      </vt:variant>
      <vt:variant>
        <vt:i4>1507381</vt:i4>
      </vt:variant>
      <vt:variant>
        <vt:i4>206</vt:i4>
      </vt:variant>
      <vt:variant>
        <vt:i4>0</vt:i4>
      </vt:variant>
      <vt:variant>
        <vt:i4>5</vt:i4>
      </vt:variant>
      <vt:variant>
        <vt:lpwstr/>
      </vt:variant>
      <vt:variant>
        <vt:lpwstr>_Toc71532557</vt:lpwstr>
      </vt:variant>
      <vt:variant>
        <vt:i4>1441845</vt:i4>
      </vt:variant>
      <vt:variant>
        <vt:i4>203</vt:i4>
      </vt:variant>
      <vt:variant>
        <vt:i4>0</vt:i4>
      </vt:variant>
      <vt:variant>
        <vt:i4>5</vt:i4>
      </vt:variant>
      <vt:variant>
        <vt:lpwstr/>
      </vt:variant>
      <vt:variant>
        <vt:lpwstr>_Toc71532556</vt:lpwstr>
      </vt:variant>
      <vt:variant>
        <vt:i4>1376309</vt:i4>
      </vt:variant>
      <vt:variant>
        <vt:i4>200</vt:i4>
      </vt:variant>
      <vt:variant>
        <vt:i4>0</vt:i4>
      </vt:variant>
      <vt:variant>
        <vt:i4>5</vt:i4>
      </vt:variant>
      <vt:variant>
        <vt:lpwstr/>
      </vt:variant>
      <vt:variant>
        <vt:lpwstr>_Toc71532555</vt:lpwstr>
      </vt:variant>
      <vt:variant>
        <vt:i4>1310773</vt:i4>
      </vt:variant>
      <vt:variant>
        <vt:i4>197</vt:i4>
      </vt:variant>
      <vt:variant>
        <vt:i4>0</vt:i4>
      </vt:variant>
      <vt:variant>
        <vt:i4>5</vt:i4>
      </vt:variant>
      <vt:variant>
        <vt:lpwstr/>
      </vt:variant>
      <vt:variant>
        <vt:lpwstr>_Toc71532554</vt:lpwstr>
      </vt:variant>
      <vt:variant>
        <vt:i4>1245237</vt:i4>
      </vt:variant>
      <vt:variant>
        <vt:i4>194</vt:i4>
      </vt:variant>
      <vt:variant>
        <vt:i4>0</vt:i4>
      </vt:variant>
      <vt:variant>
        <vt:i4>5</vt:i4>
      </vt:variant>
      <vt:variant>
        <vt:lpwstr/>
      </vt:variant>
      <vt:variant>
        <vt:lpwstr>_Toc71532553</vt:lpwstr>
      </vt:variant>
      <vt:variant>
        <vt:i4>1179701</vt:i4>
      </vt:variant>
      <vt:variant>
        <vt:i4>191</vt:i4>
      </vt:variant>
      <vt:variant>
        <vt:i4>0</vt:i4>
      </vt:variant>
      <vt:variant>
        <vt:i4>5</vt:i4>
      </vt:variant>
      <vt:variant>
        <vt:lpwstr/>
      </vt:variant>
      <vt:variant>
        <vt:lpwstr>_Toc71532552</vt:lpwstr>
      </vt:variant>
      <vt:variant>
        <vt:i4>1114165</vt:i4>
      </vt:variant>
      <vt:variant>
        <vt:i4>188</vt:i4>
      </vt:variant>
      <vt:variant>
        <vt:i4>0</vt:i4>
      </vt:variant>
      <vt:variant>
        <vt:i4>5</vt:i4>
      </vt:variant>
      <vt:variant>
        <vt:lpwstr/>
      </vt:variant>
      <vt:variant>
        <vt:lpwstr>_Toc71532551</vt:lpwstr>
      </vt:variant>
      <vt:variant>
        <vt:i4>1048629</vt:i4>
      </vt:variant>
      <vt:variant>
        <vt:i4>185</vt:i4>
      </vt:variant>
      <vt:variant>
        <vt:i4>0</vt:i4>
      </vt:variant>
      <vt:variant>
        <vt:i4>5</vt:i4>
      </vt:variant>
      <vt:variant>
        <vt:lpwstr/>
      </vt:variant>
      <vt:variant>
        <vt:lpwstr>_Toc71532550</vt:lpwstr>
      </vt:variant>
      <vt:variant>
        <vt:i4>1638452</vt:i4>
      </vt:variant>
      <vt:variant>
        <vt:i4>182</vt:i4>
      </vt:variant>
      <vt:variant>
        <vt:i4>0</vt:i4>
      </vt:variant>
      <vt:variant>
        <vt:i4>5</vt:i4>
      </vt:variant>
      <vt:variant>
        <vt:lpwstr/>
      </vt:variant>
      <vt:variant>
        <vt:lpwstr>_Toc71532549</vt:lpwstr>
      </vt:variant>
      <vt:variant>
        <vt:i4>1572916</vt:i4>
      </vt:variant>
      <vt:variant>
        <vt:i4>179</vt:i4>
      </vt:variant>
      <vt:variant>
        <vt:i4>0</vt:i4>
      </vt:variant>
      <vt:variant>
        <vt:i4>5</vt:i4>
      </vt:variant>
      <vt:variant>
        <vt:lpwstr/>
      </vt:variant>
      <vt:variant>
        <vt:lpwstr>_Toc71532548</vt:lpwstr>
      </vt:variant>
      <vt:variant>
        <vt:i4>1507380</vt:i4>
      </vt:variant>
      <vt:variant>
        <vt:i4>176</vt:i4>
      </vt:variant>
      <vt:variant>
        <vt:i4>0</vt:i4>
      </vt:variant>
      <vt:variant>
        <vt:i4>5</vt:i4>
      </vt:variant>
      <vt:variant>
        <vt:lpwstr/>
      </vt:variant>
      <vt:variant>
        <vt:lpwstr>_Toc71532547</vt:lpwstr>
      </vt:variant>
      <vt:variant>
        <vt:i4>1441844</vt:i4>
      </vt:variant>
      <vt:variant>
        <vt:i4>173</vt:i4>
      </vt:variant>
      <vt:variant>
        <vt:i4>0</vt:i4>
      </vt:variant>
      <vt:variant>
        <vt:i4>5</vt:i4>
      </vt:variant>
      <vt:variant>
        <vt:lpwstr/>
      </vt:variant>
      <vt:variant>
        <vt:lpwstr>_Toc71532546</vt:lpwstr>
      </vt:variant>
      <vt:variant>
        <vt:i4>1376308</vt:i4>
      </vt:variant>
      <vt:variant>
        <vt:i4>170</vt:i4>
      </vt:variant>
      <vt:variant>
        <vt:i4>0</vt:i4>
      </vt:variant>
      <vt:variant>
        <vt:i4>5</vt:i4>
      </vt:variant>
      <vt:variant>
        <vt:lpwstr/>
      </vt:variant>
      <vt:variant>
        <vt:lpwstr>_Toc71532545</vt:lpwstr>
      </vt:variant>
      <vt:variant>
        <vt:i4>1310772</vt:i4>
      </vt:variant>
      <vt:variant>
        <vt:i4>167</vt:i4>
      </vt:variant>
      <vt:variant>
        <vt:i4>0</vt:i4>
      </vt:variant>
      <vt:variant>
        <vt:i4>5</vt:i4>
      </vt:variant>
      <vt:variant>
        <vt:lpwstr/>
      </vt:variant>
      <vt:variant>
        <vt:lpwstr>_Toc71532544</vt:lpwstr>
      </vt:variant>
      <vt:variant>
        <vt:i4>1245236</vt:i4>
      </vt:variant>
      <vt:variant>
        <vt:i4>164</vt:i4>
      </vt:variant>
      <vt:variant>
        <vt:i4>0</vt:i4>
      </vt:variant>
      <vt:variant>
        <vt:i4>5</vt:i4>
      </vt:variant>
      <vt:variant>
        <vt:lpwstr/>
      </vt:variant>
      <vt:variant>
        <vt:lpwstr>_Toc71532543</vt:lpwstr>
      </vt:variant>
      <vt:variant>
        <vt:i4>1179700</vt:i4>
      </vt:variant>
      <vt:variant>
        <vt:i4>161</vt:i4>
      </vt:variant>
      <vt:variant>
        <vt:i4>0</vt:i4>
      </vt:variant>
      <vt:variant>
        <vt:i4>5</vt:i4>
      </vt:variant>
      <vt:variant>
        <vt:lpwstr/>
      </vt:variant>
      <vt:variant>
        <vt:lpwstr>_Toc71532542</vt:lpwstr>
      </vt:variant>
      <vt:variant>
        <vt:i4>1114164</vt:i4>
      </vt:variant>
      <vt:variant>
        <vt:i4>158</vt:i4>
      </vt:variant>
      <vt:variant>
        <vt:i4>0</vt:i4>
      </vt:variant>
      <vt:variant>
        <vt:i4>5</vt:i4>
      </vt:variant>
      <vt:variant>
        <vt:lpwstr/>
      </vt:variant>
      <vt:variant>
        <vt:lpwstr>_Toc71532541</vt:lpwstr>
      </vt:variant>
      <vt:variant>
        <vt:i4>1048628</vt:i4>
      </vt:variant>
      <vt:variant>
        <vt:i4>155</vt:i4>
      </vt:variant>
      <vt:variant>
        <vt:i4>0</vt:i4>
      </vt:variant>
      <vt:variant>
        <vt:i4>5</vt:i4>
      </vt:variant>
      <vt:variant>
        <vt:lpwstr/>
      </vt:variant>
      <vt:variant>
        <vt:lpwstr>_Toc71532540</vt:lpwstr>
      </vt:variant>
      <vt:variant>
        <vt:i4>1638451</vt:i4>
      </vt:variant>
      <vt:variant>
        <vt:i4>152</vt:i4>
      </vt:variant>
      <vt:variant>
        <vt:i4>0</vt:i4>
      </vt:variant>
      <vt:variant>
        <vt:i4>5</vt:i4>
      </vt:variant>
      <vt:variant>
        <vt:lpwstr/>
      </vt:variant>
      <vt:variant>
        <vt:lpwstr>_Toc71532539</vt:lpwstr>
      </vt:variant>
      <vt:variant>
        <vt:i4>1572915</vt:i4>
      </vt:variant>
      <vt:variant>
        <vt:i4>149</vt:i4>
      </vt:variant>
      <vt:variant>
        <vt:i4>0</vt:i4>
      </vt:variant>
      <vt:variant>
        <vt:i4>5</vt:i4>
      </vt:variant>
      <vt:variant>
        <vt:lpwstr/>
      </vt:variant>
      <vt:variant>
        <vt:lpwstr>_Toc71532538</vt:lpwstr>
      </vt:variant>
      <vt:variant>
        <vt:i4>1507379</vt:i4>
      </vt:variant>
      <vt:variant>
        <vt:i4>146</vt:i4>
      </vt:variant>
      <vt:variant>
        <vt:i4>0</vt:i4>
      </vt:variant>
      <vt:variant>
        <vt:i4>5</vt:i4>
      </vt:variant>
      <vt:variant>
        <vt:lpwstr/>
      </vt:variant>
      <vt:variant>
        <vt:lpwstr>_Toc71532537</vt:lpwstr>
      </vt:variant>
      <vt:variant>
        <vt:i4>1441843</vt:i4>
      </vt:variant>
      <vt:variant>
        <vt:i4>143</vt:i4>
      </vt:variant>
      <vt:variant>
        <vt:i4>0</vt:i4>
      </vt:variant>
      <vt:variant>
        <vt:i4>5</vt:i4>
      </vt:variant>
      <vt:variant>
        <vt:lpwstr/>
      </vt:variant>
      <vt:variant>
        <vt:lpwstr>_Toc71532536</vt:lpwstr>
      </vt:variant>
      <vt:variant>
        <vt:i4>1376307</vt:i4>
      </vt:variant>
      <vt:variant>
        <vt:i4>140</vt:i4>
      </vt:variant>
      <vt:variant>
        <vt:i4>0</vt:i4>
      </vt:variant>
      <vt:variant>
        <vt:i4>5</vt:i4>
      </vt:variant>
      <vt:variant>
        <vt:lpwstr/>
      </vt:variant>
      <vt:variant>
        <vt:lpwstr>_Toc71532535</vt:lpwstr>
      </vt:variant>
      <vt:variant>
        <vt:i4>1310771</vt:i4>
      </vt:variant>
      <vt:variant>
        <vt:i4>137</vt:i4>
      </vt:variant>
      <vt:variant>
        <vt:i4>0</vt:i4>
      </vt:variant>
      <vt:variant>
        <vt:i4>5</vt:i4>
      </vt:variant>
      <vt:variant>
        <vt:lpwstr/>
      </vt:variant>
      <vt:variant>
        <vt:lpwstr>_Toc71532534</vt:lpwstr>
      </vt:variant>
      <vt:variant>
        <vt:i4>1245235</vt:i4>
      </vt:variant>
      <vt:variant>
        <vt:i4>134</vt:i4>
      </vt:variant>
      <vt:variant>
        <vt:i4>0</vt:i4>
      </vt:variant>
      <vt:variant>
        <vt:i4>5</vt:i4>
      </vt:variant>
      <vt:variant>
        <vt:lpwstr/>
      </vt:variant>
      <vt:variant>
        <vt:lpwstr>_Toc71532533</vt:lpwstr>
      </vt:variant>
      <vt:variant>
        <vt:i4>1179699</vt:i4>
      </vt:variant>
      <vt:variant>
        <vt:i4>131</vt:i4>
      </vt:variant>
      <vt:variant>
        <vt:i4>0</vt:i4>
      </vt:variant>
      <vt:variant>
        <vt:i4>5</vt:i4>
      </vt:variant>
      <vt:variant>
        <vt:lpwstr/>
      </vt:variant>
      <vt:variant>
        <vt:lpwstr>_Toc71532532</vt:lpwstr>
      </vt:variant>
      <vt:variant>
        <vt:i4>1114163</vt:i4>
      </vt:variant>
      <vt:variant>
        <vt:i4>128</vt:i4>
      </vt:variant>
      <vt:variant>
        <vt:i4>0</vt:i4>
      </vt:variant>
      <vt:variant>
        <vt:i4>5</vt:i4>
      </vt:variant>
      <vt:variant>
        <vt:lpwstr/>
      </vt:variant>
      <vt:variant>
        <vt:lpwstr>_Toc71532531</vt:lpwstr>
      </vt:variant>
      <vt:variant>
        <vt:i4>1048627</vt:i4>
      </vt:variant>
      <vt:variant>
        <vt:i4>122</vt:i4>
      </vt:variant>
      <vt:variant>
        <vt:i4>0</vt:i4>
      </vt:variant>
      <vt:variant>
        <vt:i4>5</vt:i4>
      </vt:variant>
      <vt:variant>
        <vt:lpwstr/>
      </vt:variant>
      <vt:variant>
        <vt:lpwstr>_Toc71532530</vt:lpwstr>
      </vt:variant>
      <vt:variant>
        <vt:i4>1638450</vt:i4>
      </vt:variant>
      <vt:variant>
        <vt:i4>119</vt:i4>
      </vt:variant>
      <vt:variant>
        <vt:i4>0</vt:i4>
      </vt:variant>
      <vt:variant>
        <vt:i4>5</vt:i4>
      </vt:variant>
      <vt:variant>
        <vt:lpwstr/>
      </vt:variant>
      <vt:variant>
        <vt:lpwstr>_Toc71532529</vt:lpwstr>
      </vt:variant>
      <vt:variant>
        <vt:i4>1572914</vt:i4>
      </vt:variant>
      <vt:variant>
        <vt:i4>116</vt:i4>
      </vt:variant>
      <vt:variant>
        <vt:i4>0</vt:i4>
      </vt:variant>
      <vt:variant>
        <vt:i4>5</vt:i4>
      </vt:variant>
      <vt:variant>
        <vt:lpwstr/>
      </vt:variant>
      <vt:variant>
        <vt:lpwstr>_Toc71532528</vt:lpwstr>
      </vt:variant>
      <vt:variant>
        <vt:i4>1507378</vt:i4>
      </vt:variant>
      <vt:variant>
        <vt:i4>113</vt:i4>
      </vt:variant>
      <vt:variant>
        <vt:i4>0</vt:i4>
      </vt:variant>
      <vt:variant>
        <vt:i4>5</vt:i4>
      </vt:variant>
      <vt:variant>
        <vt:lpwstr/>
      </vt:variant>
      <vt:variant>
        <vt:lpwstr>_Toc71532527</vt:lpwstr>
      </vt:variant>
      <vt:variant>
        <vt:i4>1441842</vt:i4>
      </vt:variant>
      <vt:variant>
        <vt:i4>110</vt:i4>
      </vt:variant>
      <vt:variant>
        <vt:i4>0</vt:i4>
      </vt:variant>
      <vt:variant>
        <vt:i4>5</vt:i4>
      </vt:variant>
      <vt:variant>
        <vt:lpwstr/>
      </vt:variant>
      <vt:variant>
        <vt:lpwstr>_Toc71532526</vt:lpwstr>
      </vt:variant>
      <vt:variant>
        <vt:i4>1376306</vt:i4>
      </vt:variant>
      <vt:variant>
        <vt:i4>107</vt:i4>
      </vt:variant>
      <vt:variant>
        <vt:i4>0</vt:i4>
      </vt:variant>
      <vt:variant>
        <vt:i4>5</vt:i4>
      </vt:variant>
      <vt:variant>
        <vt:lpwstr/>
      </vt:variant>
      <vt:variant>
        <vt:lpwstr>_Toc71532525</vt:lpwstr>
      </vt:variant>
      <vt:variant>
        <vt:i4>1310770</vt:i4>
      </vt:variant>
      <vt:variant>
        <vt:i4>104</vt:i4>
      </vt:variant>
      <vt:variant>
        <vt:i4>0</vt:i4>
      </vt:variant>
      <vt:variant>
        <vt:i4>5</vt:i4>
      </vt:variant>
      <vt:variant>
        <vt:lpwstr/>
      </vt:variant>
      <vt:variant>
        <vt:lpwstr>_Toc71532524</vt:lpwstr>
      </vt:variant>
      <vt:variant>
        <vt:i4>1245234</vt:i4>
      </vt:variant>
      <vt:variant>
        <vt:i4>101</vt:i4>
      </vt:variant>
      <vt:variant>
        <vt:i4>0</vt:i4>
      </vt:variant>
      <vt:variant>
        <vt:i4>5</vt:i4>
      </vt:variant>
      <vt:variant>
        <vt:lpwstr/>
      </vt:variant>
      <vt:variant>
        <vt:lpwstr>_Toc71532523</vt:lpwstr>
      </vt:variant>
      <vt:variant>
        <vt:i4>1179698</vt:i4>
      </vt:variant>
      <vt:variant>
        <vt:i4>98</vt:i4>
      </vt:variant>
      <vt:variant>
        <vt:i4>0</vt:i4>
      </vt:variant>
      <vt:variant>
        <vt:i4>5</vt:i4>
      </vt:variant>
      <vt:variant>
        <vt:lpwstr/>
      </vt:variant>
      <vt:variant>
        <vt:lpwstr>_Toc71532522</vt:lpwstr>
      </vt:variant>
      <vt:variant>
        <vt:i4>1114162</vt:i4>
      </vt:variant>
      <vt:variant>
        <vt:i4>95</vt:i4>
      </vt:variant>
      <vt:variant>
        <vt:i4>0</vt:i4>
      </vt:variant>
      <vt:variant>
        <vt:i4>5</vt:i4>
      </vt:variant>
      <vt:variant>
        <vt:lpwstr/>
      </vt:variant>
      <vt:variant>
        <vt:lpwstr>_Toc71532521</vt:lpwstr>
      </vt:variant>
      <vt:variant>
        <vt:i4>1048626</vt:i4>
      </vt:variant>
      <vt:variant>
        <vt:i4>92</vt:i4>
      </vt:variant>
      <vt:variant>
        <vt:i4>0</vt:i4>
      </vt:variant>
      <vt:variant>
        <vt:i4>5</vt:i4>
      </vt:variant>
      <vt:variant>
        <vt:lpwstr/>
      </vt:variant>
      <vt:variant>
        <vt:lpwstr>_Toc71532520</vt:lpwstr>
      </vt:variant>
      <vt:variant>
        <vt:i4>1638449</vt:i4>
      </vt:variant>
      <vt:variant>
        <vt:i4>89</vt:i4>
      </vt:variant>
      <vt:variant>
        <vt:i4>0</vt:i4>
      </vt:variant>
      <vt:variant>
        <vt:i4>5</vt:i4>
      </vt:variant>
      <vt:variant>
        <vt:lpwstr/>
      </vt:variant>
      <vt:variant>
        <vt:lpwstr>_Toc71532519</vt:lpwstr>
      </vt:variant>
      <vt:variant>
        <vt:i4>1572913</vt:i4>
      </vt:variant>
      <vt:variant>
        <vt:i4>86</vt:i4>
      </vt:variant>
      <vt:variant>
        <vt:i4>0</vt:i4>
      </vt:variant>
      <vt:variant>
        <vt:i4>5</vt:i4>
      </vt:variant>
      <vt:variant>
        <vt:lpwstr/>
      </vt:variant>
      <vt:variant>
        <vt:lpwstr>_Toc71532518</vt:lpwstr>
      </vt:variant>
      <vt:variant>
        <vt:i4>1507377</vt:i4>
      </vt:variant>
      <vt:variant>
        <vt:i4>83</vt:i4>
      </vt:variant>
      <vt:variant>
        <vt:i4>0</vt:i4>
      </vt:variant>
      <vt:variant>
        <vt:i4>5</vt:i4>
      </vt:variant>
      <vt:variant>
        <vt:lpwstr/>
      </vt:variant>
      <vt:variant>
        <vt:lpwstr>_Toc71532517</vt:lpwstr>
      </vt:variant>
      <vt:variant>
        <vt:i4>1441841</vt:i4>
      </vt:variant>
      <vt:variant>
        <vt:i4>80</vt:i4>
      </vt:variant>
      <vt:variant>
        <vt:i4>0</vt:i4>
      </vt:variant>
      <vt:variant>
        <vt:i4>5</vt:i4>
      </vt:variant>
      <vt:variant>
        <vt:lpwstr/>
      </vt:variant>
      <vt:variant>
        <vt:lpwstr>_Toc71532516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125</cp:revision>
  <cp:lastPrinted>2021-01-08T23:59:00Z</cp:lastPrinted>
  <dcterms:created xsi:type="dcterms:W3CDTF">2021-04-05T23:12:00Z</dcterms:created>
  <dcterms:modified xsi:type="dcterms:W3CDTF">2021-08-12T11:00:00Z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